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C4111" w14:textId="4C332EF7" w:rsidR="00F117C6" w:rsidRPr="00500C4E" w:rsidRDefault="009A0721" w:rsidP="00F117C6">
      <w:pPr>
        <w:pStyle w:val="WPnumber"/>
      </w:pPr>
      <w:bookmarkStart w:id="0" w:name="_Toc153189647"/>
      <w:r>
        <w:t xml:space="preserve">Short Form </w:t>
      </w:r>
      <w:r w:rsidR="00F117C6" w:rsidRPr="00500C4E">
        <w:t xml:space="preserve">Work Paper </w:t>
      </w:r>
      <w:sdt>
        <w:sdtPr>
          <w:rPr>
            <w:rFonts w:cs="Arial"/>
          </w:rPr>
          <w:alias w:val="Title"/>
          <w:tag w:val=""/>
          <w:id w:val="650333005"/>
          <w:placeholder>
            <w:docPart w:val="2D1C3A54D61944DBB3D63B92C982C696"/>
          </w:placeholder>
          <w:dataBinding w:prefixMappings="xmlns:ns0='http://purl.org/dc/elements/1.1/' xmlns:ns1='http://schemas.openxmlformats.org/package/2006/metadata/core-properties' " w:xpath="/ns1:coreProperties[1]/ns0:title[1]" w:storeItemID="{6C3C8BC8-F283-45AE-878A-BAB7291924A1}"/>
          <w:text/>
        </w:sdtPr>
        <w:sdtEndPr/>
        <w:sdtContent>
          <w:r w:rsidR="00174990">
            <w:rPr>
              <w:rFonts w:cs="Arial"/>
            </w:rPr>
            <w:t>WPSDGENRWH0015</w:t>
          </w:r>
        </w:sdtContent>
      </w:sdt>
    </w:p>
    <w:bookmarkEnd w:id="0"/>
    <w:p w14:paraId="0AE90950" w14:textId="41BDE78D" w:rsidR="00F117C6" w:rsidRPr="00500C4E" w:rsidRDefault="00186BBB" w:rsidP="00F117C6">
      <w:pPr>
        <w:pStyle w:val="Revnumber"/>
        <w:rPr>
          <w:rStyle w:val="CaptionChar"/>
          <w:b/>
          <w:bCs w:val="0"/>
        </w:rPr>
      </w:pPr>
      <w:sdt>
        <w:sdtPr>
          <w:rPr>
            <w:rStyle w:val="CaptionChar"/>
            <w:b/>
            <w:bCs w:val="0"/>
          </w:rPr>
          <w:alias w:val="Revision"/>
          <w:tag w:val=""/>
          <w:id w:val="-1338455471"/>
          <w:placeholder>
            <w:docPart w:val="5420FAF41CED451EAB8369D8BC2C0B60"/>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E93B15">
            <w:rPr>
              <w:rStyle w:val="CaptionChar"/>
              <w:b/>
              <w:bCs w:val="0"/>
            </w:rPr>
            <w:t>Revision 0</w:t>
          </w:r>
        </w:sdtContent>
      </w:sdt>
    </w:p>
    <w:p w14:paraId="2916F743" w14:textId="77777777" w:rsidR="00F117C6" w:rsidRPr="00500C4E" w:rsidRDefault="00F117C6" w:rsidP="00F117C6">
      <w:pPr>
        <w:jc w:val="right"/>
        <w:rPr>
          <w:rFonts w:cstheme="minorHAnsi"/>
          <w:b/>
          <w:sz w:val="48"/>
          <w:szCs w:val="48"/>
        </w:rPr>
      </w:pPr>
    </w:p>
    <w:bookmarkStart w:id="1" w:name="SCE"/>
    <w:p w14:paraId="71189DD4" w14:textId="77777777" w:rsidR="00F117C6" w:rsidRPr="00500C4E" w:rsidRDefault="00186BBB" w:rsidP="00F117C6">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954041495DA644508C725EBE45A9A075"/>
          </w:placeholder>
          <w:dataBinding w:prefixMappings="xmlns:ns0='http://schemas.openxmlformats.org/officeDocument/2006/extended-properties' " w:xpath="/ns0:Properties[1]/ns0:Company[1]" w:storeItemID="{6668398D-A668-4E3E-A5EB-62B293D839F1}"/>
          <w:text/>
        </w:sdtPr>
        <w:sdtEndPr/>
        <w:sdtContent>
          <w:r w:rsidR="00861B74">
            <w:rPr>
              <w:rFonts w:cstheme="minorHAnsi"/>
              <w:b/>
              <w:sz w:val="36"/>
              <w:szCs w:val="36"/>
            </w:rPr>
            <w:t>S</w:t>
          </w:r>
          <w:r w:rsidR="006049AE">
            <w:rPr>
              <w:rFonts w:cstheme="minorHAnsi"/>
              <w:b/>
              <w:sz w:val="36"/>
              <w:szCs w:val="36"/>
            </w:rPr>
            <w:t>an Diego Gas &amp; Electric</w:t>
          </w:r>
        </w:sdtContent>
      </w:sdt>
      <w:bookmarkEnd w:id="1"/>
    </w:p>
    <w:p w14:paraId="586BBBB6" w14:textId="77777777" w:rsidR="00F117C6" w:rsidRPr="006049AE" w:rsidRDefault="006049AE" w:rsidP="00F117C6">
      <w:pPr>
        <w:rPr>
          <w:rFonts w:cstheme="minorHAnsi"/>
          <w:b/>
        </w:rPr>
      </w:pPr>
      <w:r w:rsidRPr="006049AE">
        <w:rPr>
          <w:rFonts w:cstheme="minorHAnsi"/>
          <w:b/>
        </w:rPr>
        <w:t>Energy Efficiency Engineering</w:t>
      </w:r>
    </w:p>
    <w:p w14:paraId="380D0BF6" w14:textId="77777777" w:rsidR="00F117C6" w:rsidRPr="00500C4E" w:rsidRDefault="00F117C6" w:rsidP="00F117C6">
      <w:pPr>
        <w:rPr>
          <w:rFonts w:cstheme="minorHAnsi"/>
        </w:rPr>
      </w:pPr>
    </w:p>
    <w:p w14:paraId="6790A3D9" w14:textId="77777777" w:rsidR="00F117C6" w:rsidRPr="00500C4E" w:rsidRDefault="00F117C6" w:rsidP="00F117C6">
      <w:pPr>
        <w:tabs>
          <w:tab w:val="left" w:pos="8190"/>
        </w:tabs>
        <w:rPr>
          <w:rFonts w:cstheme="minorHAnsi"/>
        </w:rPr>
      </w:pPr>
      <w:r w:rsidRPr="00500C4E">
        <w:rPr>
          <w:rFonts w:cstheme="minorHAnsi"/>
        </w:rPr>
        <w:tab/>
      </w:r>
    </w:p>
    <w:p w14:paraId="32EAA09D" w14:textId="77777777" w:rsidR="00F117C6" w:rsidRPr="00500C4E" w:rsidRDefault="00F117C6" w:rsidP="00F117C6">
      <w:pPr>
        <w:rPr>
          <w:rFonts w:cstheme="minorHAnsi"/>
        </w:rPr>
      </w:pPr>
    </w:p>
    <w:p w14:paraId="6E206646" w14:textId="77777777" w:rsidR="00F117C6" w:rsidRPr="00500C4E" w:rsidRDefault="00F117C6" w:rsidP="00F117C6">
      <w:pPr>
        <w:rPr>
          <w:rFonts w:cstheme="minorHAnsi"/>
        </w:rPr>
      </w:pPr>
    </w:p>
    <w:p w14:paraId="6C0070F5" w14:textId="77777777" w:rsidR="00F117C6" w:rsidRPr="00500C4E" w:rsidRDefault="00F117C6" w:rsidP="00F117C6">
      <w:pPr>
        <w:rPr>
          <w:rFonts w:cstheme="minorHAnsi"/>
        </w:rPr>
      </w:pPr>
    </w:p>
    <w:p w14:paraId="67FA45A3" w14:textId="77777777" w:rsidR="00F117C6" w:rsidRPr="00500C4E" w:rsidRDefault="00F117C6" w:rsidP="00F117C6">
      <w:pPr>
        <w:rPr>
          <w:rFonts w:cstheme="minorHAnsi"/>
        </w:rPr>
      </w:pPr>
    </w:p>
    <w:p w14:paraId="074E67F1" w14:textId="77777777" w:rsidR="00F117C6" w:rsidRPr="00500C4E" w:rsidRDefault="00F117C6" w:rsidP="00F117C6">
      <w:pPr>
        <w:rPr>
          <w:rFonts w:cstheme="minorHAnsi"/>
        </w:rPr>
      </w:pPr>
    </w:p>
    <w:p w14:paraId="2E6FD72C" w14:textId="77777777" w:rsidR="00174990" w:rsidRPr="00500C4E" w:rsidRDefault="00174990" w:rsidP="00174990">
      <w:pPr>
        <w:rPr>
          <w:rFonts w:cstheme="minorHAnsi"/>
          <w:b/>
          <w:sz w:val="72"/>
          <w:szCs w:val="72"/>
        </w:rPr>
      </w:pPr>
      <w:r w:rsidRPr="000247BD">
        <w:rPr>
          <w:rFonts w:cstheme="minorHAnsi"/>
          <w:b/>
          <w:sz w:val="72"/>
          <w:szCs w:val="72"/>
        </w:rPr>
        <w:t>Laminar Flow Restrictors</w:t>
      </w:r>
      <w:r>
        <w:rPr>
          <w:rFonts w:cstheme="minorHAnsi"/>
          <w:b/>
          <w:sz w:val="72"/>
          <w:szCs w:val="72"/>
        </w:rPr>
        <w:br/>
      </w:r>
      <w:r>
        <w:rPr>
          <w:rFonts w:cstheme="minorHAnsi"/>
          <w:b/>
          <w:sz w:val="40"/>
          <w:szCs w:val="72"/>
        </w:rPr>
        <w:t xml:space="preserve">For </w:t>
      </w:r>
      <w:r w:rsidRPr="001C18E8">
        <w:rPr>
          <w:rFonts w:cstheme="minorHAnsi"/>
          <w:b/>
          <w:sz w:val="40"/>
          <w:szCs w:val="72"/>
        </w:rPr>
        <w:t>Hospitals and Health Care Facilities</w:t>
      </w:r>
    </w:p>
    <w:p w14:paraId="341BB6B0" w14:textId="77777777" w:rsidR="00861B74" w:rsidRDefault="00861B74" w:rsidP="000F72EF">
      <w:pPr>
        <w:rPr>
          <w:rFonts w:cstheme="minorHAnsi"/>
          <w:b/>
          <w:sz w:val="72"/>
          <w:szCs w:val="72"/>
        </w:rPr>
      </w:pPr>
    </w:p>
    <w:p w14:paraId="263C4EDD" w14:textId="77777777" w:rsidR="00861B74" w:rsidRDefault="00861B74" w:rsidP="000F72EF">
      <w:pPr>
        <w:rPr>
          <w:rFonts w:cstheme="minorHAnsi"/>
          <w:b/>
          <w:sz w:val="72"/>
          <w:szCs w:val="72"/>
        </w:rPr>
      </w:pPr>
    </w:p>
    <w:p w14:paraId="72AA2E5A" w14:textId="77777777" w:rsidR="00861B74" w:rsidRDefault="00861B74" w:rsidP="000F72EF">
      <w:pPr>
        <w:rPr>
          <w:rFonts w:cstheme="minorHAnsi"/>
          <w:b/>
          <w:sz w:val="72"/>
          <w:szCs w:val="72"/>
        </w:rPr>
      </w:pPr>
    </w:p>
    <w:p w14:paraId="05C12A23" w14:textId="77777777" w:rsidR="00861B74" w:rsidRDefault="00861B74" w:rsidP="000F72EF">
      <w:pPr>
        <w:rPr>
          <w:rFonts w:cstheme="minorHAnsi"/>
          <w:b/>
          <w:sz w:val="72"/>
          <w:szCs w:val="72"/>
        </w:rPr>
      </w:pPr>
    </w:p>
    <w:p w14:paraId="0E8AABFF" w14:textId="77777777" w:rsidR="00861B74" w:rsidRDefault="00861B74" w:rsidP="000F72EF">
      <w:pPr>
        <w:rPr>
          <w:rFonts w:cstheme="minorHAnsi"/>
          <w:b/>
          <w:sz w:val="72"/>
          <w:szCs w:val="72"/>
        </w:rPr>
      </w:pPr>
    </w:p>
    <w:p w14:paraId="78F51626" w14:textId="77777777" w:rsidR="00861B74" w:rsidRDefault="00861B74" w:rsidP="000F72EF">
      <w:pPr>
        <w:rPr>
          <w:rFonts w:cstheme="minorHAnsi"/>
          <w:b/>
          <w:sz w:val="72"/>
          <w:szCs w:val="72"/>
        </w:rPr>
      </w:pPr>
    </w:p>
    <w:p w14:paraId="6D5F98B4" w14:textId="449137EF" w:rsidR="00861B74" w:rsidRPr="00861B74" w:rsidRDefault="00186BBB" w:rsidP="00861B74">
      <w:pPr>
        <w:jc w:val="right"/>
        <w:rPr>
          <w:rFonts w:cstheme="minorHAnsi"/>
          <w:b/>
          <w:sz w:val="28"/>
          <w:szCs w:val="28"/>
        </w:rPr>
        <w:sectPr w:rsidR="00861B74" w:rsidRPr="00861B74" w:rsidSect="00D41500">
          <w:footerReference w:type="default" r:id="rId8"/>
          <w:pgSz w:w="12240" w:h="15840"/>
          <w:pgMar w:top="1440" w:right="1440" w:bottom="1440" w:left="1440" w:header="720" w:footer="720" w:gutter="0"/>
          <w:cols w:space="720"/>
          <w:titlePg/>
          <w:docGrid w:linePitch="360"/>
        </w:sectPr>
      </w:pPr>
      <w:r>
        <w:rPr>
          <w:rFonts w:cstheme="minorHAnsi"/>
          <w:b/>
          <w:sz w:val="28"/>
          <w:szCs w:val="28"/>
        </w:rPr>
        <w:t>January 2</w:t>
      </w:r>
      <w:r w:rsidR="003933D2">
        <w:rPr>
          <w:rFonts w:cstheme="minorHAnsi"/>
          <w:b/>
          <w:sz w:val="28"/>
          <w:szCs w:val="28"/>
        </w:rPr>
        <w:t xml:space="preserve">, </w:t>
      </w:r>
      <w:r w:rsidR="00CE25BE">
        <w:rPr>
          <w:rFonts w:cstheme="minorHAnsi"/>
          <w:b/>
          <w:sz w:val="28"/>
          <w:szCs w:val="28"/>
        </w:rPr>
        <w:t>201</w:t>
      </w:r>
      <w:r>
        <w:rPr>
          <w:rFonts w:cstheme="minorHAnsi"/>
          <w:b/>
          <w:sz w:val="28"/>
          <w:szCs w:val="28"/>
        </w:rPr>
        <w:t>8</w:t>
      </w:r>
    </w:p>
    <w:p w14:paraId="5FB9CFF2" w14:textId="209592D3" w:rsidR="00542511" w:rsidRPr="008828CF" w:rsidRDefault="00174990" w:rsidP="00542511">
      <w:pPr>
        <w:pStyle w:val="Heading1"/>
      </w:pPr>
      <w:bookmarkStart w:id="2" w:name="_Toc214003090"/>
      <w:r>
        <w:lastRenderedPageBreak/>
        <w:t xml:space="preserve">Laminar Flow Restrictors for Hospitals and Health Care Facilities </w:t>
      </w:r>
      <w:r w:rsidR="00542511" w:rsidRPr="008828CF">
        <w:t>Short Form WP</w:t>
      </w:r>
    </w:p>
    <w:p w14:paraId="766B6F9F" w14:textId="77777777" w:rsidR="00542511" w:rsidRPr="00711962" w:rsidRDefault="00542511" w:rsidP="00542511">
      <w:pPr>
        <w:pStyle w:val="Heading2"/>
      </w:pPr>
      <w:r w:rsidRPr="00711962">
        <w:t>Introduction</w:t>
      </w:r>
    </w:p>
    <w:p w14:paraId="24E79B0C" w14:textId="10573D50" w:rsidR="00711962" w:rsidRDefault="00542511" w:rsidP="00542511">
      <w:r w:rsidRPr="00711962">
        <w:t xml:space="preserve">This short form workpaper </w:t>
      </w:r>
      <w:r w:rsidR="00711962">
        <w:t xml:space="preserve">(wp) </w:t>
      </w:r>
      <w:r w:rsidRPr="00711962">
        <w:t xml:space="preserve">documents the values adopted from </w:t>
      </w:r>
      <w:r w:rsidR="00711962">
        <w:t>SCG’s</w:t>
      </w:r>
      <w:r w:rsidRPr="00711962">
        <w:t xml:space="preserve"> </w:t>
      </w:r>
      <w:r w:rsidR="00711962">
        <w:t>wp</w:t>
      </w:r>
      <w:r w:rsidRPr="00711962">
        <w:t xml:space="preserve"> entitled “</w:t>
      </w:r>
      <w:r w:rsidR="00174990">
        <w:t>Laminar Flow Restrictors for Hospitals and Health Care Facilities</w:t>
      </w:r>
      <w:r w:rsidRPr="00711962">
        <w:t>”</w:t>
      </w:r>
      <w:r w:rsidR="00174990">
        <w:t xml:space="preserve"> (WPSCGNRWH150827A Rev2)</w:t>
      </w:r>
      <w:r w:rsidR="002137EC">
        <w:t>.</w:t>
      </w:r>
      <w:r w:rsidR="00196CA4">
        <w:t xml:space="preserve"> </w:t>
      </w:r>
      <w:r w:rsidRPr="00711962">
        <w:t>SD</w:t>
      </w:r>
      <w:r w:rsidR="00711962">
        <w:t xml:space="preserve">G&amp;E adopts </w:t>
      </w:r>
      <w:r w:rsidR="00174990">
        <w:t>all</w:t>
      </w:r>
      <w:r w:rsidR="00711962">
        <w:t xml:space="preserve"> the </w:t>
      </w:r>
      <w:r w:rsidR="00174990">
        <w:t xml:space="preserve">assumptions and </w:t>
      </w:r>
      <w:r w:rsidR="00711962">
        <w:t xml:space="preserve">values in </w:t>
      </w:r>
      <w:r w:rsidRPr="00711962">
        <w:t>S</w:t>
      </w:r>
      <w:r w:rsidR="00711962">
        <w:t>CG</w:t>
      </w:r>
      <w:r w:rsidR="003933D2">
        <w:t xml:space="preserve"> </w:t>
      </w:r>
      <w:r w:rsidR="00711962" w:rsidRPr="00711962">
        <w:t>WP</w:t>
      </w:r>
      <w:r w:rsidR="00B275E9">
        <w:t>SCGNRWH150827A</w:t>
      </w:r>
      <w:r w:rsidR="00711962" w:rsidRPr="00711962">
        <w:t xml:space="preserve"> Rev </w:t>
      </w:r>
      <w:r w:rsidR="00B275E9">
        <w:t>2</w:t>
      </w:r>
      <w:r w:rsidR="008E0122">
        <w:t xml:space="preserve">. </w:t>
      </w:r>
    </w:p>
    <w:p w14:paraId="3212C065" w14:textId="77777777" w:rsidR="008E0122" w:rsidRDefault="008E0122" w:rsidP="00542511"/>
    <w:p w14:paraId="0906DC84" w14:textId="77777777" w:rsidR="00542511" w:rsidRDefault="00542511" w:rsidP="00542511">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4"/>
        <w:gridCol w:w="1275"/>
        <w:gridCol w:w="1649"/>
        <w:gridCol w:w="5902"/>
      </w:tblGrid>
      <w:tr w:rsidR="00542511" w:rsidRPr="00500C4E" w14:paraId="56302E5E" w14:textId="77777777" w:rsidTr="00BE7F63">
        <w:trPr>
          <w:trHeight w:val="20"/>
        </w:trPr>
        <w:tc>
          <w:tcPr>
            <w:tcW w:w="280" w:type="pct"/>
            <w:shd w:val="clear" w:color="auto" w:fill="D9D9D9" w:themeFill="background1" w:themeFillShade="D9"/>
          </w:tcPr>
          <w:p w14:paraId="67466AA6" w14:textId="77777777" w:rsidR="00542511" w:rsidRPr="000E2B6B" w:rsidRDefault="00542511" w:rsidP="005B2619">
            <w:pPr>
              <w:rPr>
                <w:rStyle w:val="Strong"/>
                <w:bCs w:val="0"/>
              </w:rPr>
            </w:pPr>
            <w:r w:rsidRPr="000E2B6B">
              <w:rPr>
                <w:rStyle w:val="Strong"/>
              </w:rPr>
              <w:t>Rev</w:t>
            </w:r>
          </w:p>
        </w:tc>
        <w:tc>
          <w:tcPr>
            <w:tcW w:w="682" w:type="pct"/>
            <w:shd w:val="clear" w:color="auto" w:fill="D9D9D9" w:themeFill="background1" w:themeFillShade="D9"/>
          </w:tcPr>
          <w:p w14:paraId="13765313" w14:textId="77777777" w:rsidR="00542511" w:rsidRPr="000E2B6B" w:rsidRDefault="00542511" w:rsidP="005B2619">
            <w:pPr>
              <w:rPr>
                <w:rStyle w:val="Strong"/>
                <w:bCs w:val="0"/>
              </w:rPr>
            </w:pPr>
            <w:r w:rsidRPr="000E2B6B">
              <w:rPr>
                <w:rStyle w:val="Strong"/>
              </w:rPr>
              <w:t>Date</w:t>
            </w:r>
          </w:p>
        </w:tc>
        <w:tc>
          <w:tcPr>
            <w:tcW w:w="882" w:type="pct"/>
            <w:shd w:val="clear" w:color="auto" w:fill="D9D9D9" w:themeFill="background1" w:themeFillShade="D9"/>
          </w:tcPr>
          <w:p w14:paraId="3D5DC18A" w14:textId="77777777" w:rsidR="00542511" w:rsidRPr="000E2B6B" w:rsidRDefault="00542511" w:rsidP="005B2619">
            <w:pPr>
              <w:rPr>
                <w:rStyle w:val="Strong"/>
                <w:bCs w:val="0"/>
              </w:rPr>
            </w:pPr>
            <w:r w:rsidRPr="000E2B6B">
              <w:rPr>
                <w:rStyle w:val="Strong"/>
              </w:rPr>
              <w:t>Author</w:t>
            </w:r>
          </w:p>
        </w:tc>
        <w:tc>
          <w:tcPr>
            <w:tcW w:w="3156" w:type="pct"/>
            <w:shd w:val="clear" w:color="auto" w:fill="D9D9D9" w:themeFill="background1" w:themeFillShade="D9"/>
          </w:tcPr>
          <w:p w14:paraId="50D6A978" w14:textId="77777777" w:rsidR="00542511" w:rsidRPr="000E2B6B" w:rsidRDefault="00542511" w:rsidP="005B2619">
            <w:pPr>
              <w:rPr>
                <w:rStyle w:val="Strong"/>
                <w:bCs w:val="0"/>
              </w:rPr>
            </w:pPr>
            <w:r w:rsidRPr="000E2B6B">
              <w:rPr>
                <w:rStyle w:val="Strong"/>
              </w:rPr>
              <w:t>Summary of Changes</w:t>
            </w:r>
          </w:p>
        </w:tc>
      </w:tr>
      <w:tr w:rsidR="00542511" w:rsidRPr="00500C4E" w14:paraId="710D7DFA" w14:textId="77777777" w:rsidTr="00BE7F63">
        <w:trPr>
          <w:trHeight w:val="20"/>
        </w:trPr>
        <w:tc>
          <w:tcPr>
            <w:tcW w:w="280" w:type="pct"/>
            <w:vAlign w:val="center"/>
          </w:tcPr>
          <w:p w14:paraId="116FBAD2" w14:textId="77777777" w:rsidR="00542511" w:rsidRPr="007D04D7" w:rsidRDefault="00542511" w:rsidP="005B2619">
            <w:pPr>
              <w:jc w:val="center"/>
              <w:rPr>
                <w:rFonts w:cstheme="minorHAnsi"/>
                <w:sz w:val="22"/>
                <w:szCs w:val="22"/>
              </w:rPr>
            </w:pPr>
            <w:r w:rsidRPr="007D04D7">
              <w:rPr>
                <w:rFonts w:cstheme="minorHAnsi"/>
                <w:bCs/>
                <w:sz w:val="22"/>
                <w:szCs w:val="22"/>
              </w:rPr>
              <w:t>0</w:t>
            </w:r>
          </w:p>
        </w:tc>
        <w:tc>
          <w:tcPr>
            <w:tcW w:w="682" w:type="pct"/>
            <w:vAlign w:val="center"/>
          </w:tcPr>
          <w:p w14:paraId="065EC8A2" w14:textId="1379028B" w:rsidR="00542511" w:rsidRPr="007D04D7" w:rsidRDefault="003933D2" w:rsidP="005B2619">
            <w:pPr>
              <w:jc w:val="center"/>
              <w:rPr>
                <w:rFonts w:cstheme="minorHAnsi"/>
                <w:sz w:val="22"/>
                <w:szCs w:val="22"/>
              </w:rPr>
            </w:pPr>
            <w:r w:rsidRPr="007D04D7">
              <w:rPr>
                <w:rFonts w:cstheme="minorHAnsi"/>
                <w:bCs/>
                <w:sz w:val="22"/>
                <w:szCs w:val="22"/>
              </w:rPr>
              <w:t>1</w:t>
            </w:r>
            <w:r w:rsidR="00542511" w:rsidRPr="007D04D7">
              <w:rPr>
                <w:rFonts w:cstheme="minorHAnsi"/>
                <w:bCs/>
                <w:sz w:val="22"/>
                <w:szCs w:val="22"/>
              </w:rPr>
              <w:t>/</w:t>
            </w:r>
            <w:r w:rsidR="00186BBB">
              <w:rPr>
                <w:rFonts w:cstheme="minorHAnsi"/>
                <w:bCs/>
                <w:sz w:val="22"/>
                <w:szCs w:val="22"/>
              </w:rPr>
              <w:t>02</w:t>
            </w:r>
            <w:r w:rsidR="00542511" w:rsidRPr="007D04D7">
              <w:rPr>
                <w:rFonts w:cstheme="minorHAnsi"/>
                <w:bCs/>
                <w:sz w:val="22"/>
                <w:szCs w:val="22"/>
              </w:rPr>
              <w:t>/201</w:t>
            </w:r>
            <w:r w:rsidR="00186BBB">
              <w:rPr>
                <w:rFonts w:cstheme="minorHAnsi"/>
                <w:bCs/>
                <w:sz w:val="22"/>
                <w:szCs w:val="22"/>
              </w:rPr>
              <w:t>8</w:t>
            </w:r>
          </w:p>
        </w:tc>
        <w:tc>
          <w:tcPr>
            <w:tcW w:w="882" w:type="pct"/>
            <w:vAlign w:val="center"/>
          </w:tcPr>
          <w:p w14:paraId="7D43A71F" w14:textId="117BF62F" w:rsidR="00542511" w:rsidRPr="007D04D7" w:rsidRDefault="003933D2" w:rsidP="00D35C9C">
            <w:pPr>
              <w:rPr>
                <w:rFonts w:cstheme="minorHAnsi"/>
                <w:sz w:val="22"/>
                <w:szCs w:val="22"/>
              </w:rPr>
            </w:pPr>
            <w:r w:rsidRPr="007D04D7">
              <w:rPr>
                <w:rFonts w:cs="Arial"/>
                <w:bCs/>
                <w:color w:val="000000" w:themeColor="text1"/>
                <w:sz w:val="22"/>
                <w:szCs w:val="22"/>
              </w:rPr>
              <w:t>Eduardo Reynoso</w:t>
            </w:r>
            <w:r w:rsidR="00542511" w:rsidRPr="007D04D7">
              <w:rPr>
                <w:rFonts w:cs="Arial"/>
                <w:bCs/>
                <w:color w:val="000000" w:themeColor="text1"/>
                <w:sz w:val="22"/>
                <w:szCs w:val="22"/>
              </w:rPr>
              <w:t xml:space="preserve"> / SDGE</w:t>
            </w:r>
          </w:p>
        </w:tc>
        <w:tc>
          <w:tcPr>
            <w:tcW w:w="3156" w:type="pct"/>
          </w:tcPr>
          <w:p w14:paraId="276F39EA" w14:textId="064AF165" w:rsidR="00542511" w:rsidRPr="007D04D7" w:rsidRDefault="00542511" w:rsidP="005B2619">
            <w:pPr>
              <w:rPr>
                <w:rFonts w:cstheme="minorHAnsi"/>
                <w:sz w:val="22"/>
                <w:szCs w:val="22"/>
              </w:rPr>
            </w:pPr>
            <w:r w:rsidRPr="007D04D7">
              <w:rPr>
                <w:rFonts w:cs="Arial"/>
                <w:bCs/>
                <w:color w:val="000000" w:themeColor="text1"/>
                <w:sz w:val="22"/>
                <w:szCs w:val="22"/>
              </w:rPr>
              <w:t>Adopted from Southern California Gas Company WorkPaper</w:t>
            </w:r>
            <w:r w:rsidR="00B275E9">
              <w:rPr>
                <w:rFonts w:cs="Arial"/>
                <w:bCs/>
                <w:color w:val="000000" w:themeColor="text1"/>
                <w:sz w:val="22"/>
                <w:szCs w:val="22"/>
              </w:rPr>
              <w:t xml:space="preserve"> WPSCGNRWH150827A </w:t>
            </w:r>
            <w:r w:rsidR="003933D2" w:rsidRPr="007D04D7">
              <w:rPr>
                <w:rFonts w:cstheme="minorHAnsi"/>
                <w:sz w:val="22"/>
                <w:szCs w:val="22"/>
              </w:rPr>
              <w:t>Revision 0</w:t>
            </w:r>
            <w:r w:rsidRPr="007D04D7">
              <w:rPr>
                <w:rFonts w:cs="Arial"/>
                <w:bCs/>
                <w:color w:val="000000" w:themeColor="text1"/>
                <w:sz w:val="22"/>
                <w:szCs w:val="22"/>
              </w:rPr>
              <w:t xml:space="preserve"> Dated </w:t>
            </w:r>
            <w:r w:rsidR="00B275E9">
              <w:rPr>
                <w:rFonts w:cs="Arial"/>
                <w:bCs/>
                <w:color w:val="000000" w:themeColor="text1"/>
                <w:sz w:val="22"/>
                <w:szCs w:val="22"/>
              </w:rPr>
              <w:t>April 8</w:t>
            </w:r>
            <w:r w:rsidR="003933D2" w:rsidRPr="007D04D7">
              <w:rPr>
                <w:rFonts w:cs="Arial"/>
                <w:bCs/>
                <w:color w:val="000000" w:themeColor="text1"/>
                <w:sz w:val="22"/>
                <w:szCs w:val="22"/>
              </w:rPr>
              <w:t xml:space="preserve">, </w:t>
            </w:r>
            <w:r w:rsidRPr="007D04D7">
              <w:rPr>
                <w:rFonts w:cs="Arial"/>
                <w:bCs/>
                <w:color w:val="000000" w:themeColor="text1"/>
                <w:sz w:val="22"/>
                <w:szCs w:val="22"/>
              </w:rPr>
              <w:t>201</w:t>
            </w:r>
            <w:r w:rsidR="00B275E9">
              <w:rPr>
                <w:rFonts w:cs="Arial"/>
                <w:bCs/>
                <w:color w:val="000000" w:themeColor="text1"/>
                <w:sz w:val="22"/>
                <w:szCs w:val="22"/>
              </w:rPr>
              <w:t>6</w:t>
            </w:r>
            <w:r w:rsidRPr="007D04D7">
              <w:rPr>
                <w:rFonts w:cs="Arial"/>
                <w:bCs/>
                <w:color w:val="000000" w:themeColor="text1"/>
                <w:sz w:val="22"/>
                <w:szCs w:val="22"/>
              </w:rPr>
              <w:t xml:space="preserve"> without changes</w:t>
            </w:r>
            <w:r w:rsidR="00C8339F">
              <w:rPr>
                <w:rFonts w:cs="Arial"/>
                <w:bCs/>
                <w:color w:val="000000" w:themeColor="text1"/>
                <w:sz w:val="22"/>
                <w:szCs w:val="22"/>
              </w:rPr>
              <w:t>.</w:t>
            </w:r>
          </w:p>
        </w:tc>
      </w:tr>
      <w:tr w:rsidR="00542511" w:rsidRPr="00500C4E" w14:paraId="5F54B632" w14:textId="77777777" w:rsidTr="00BE7F63">
        <w:trPr>
          <w:trHeight w:val="20"/>
        </w:trPr>
        <w:tc>
          <w:tcPr>
            <w:tcW w:w="280" w:type="pct"/>
            <w:vAlign w:val="center"/>
          </w:tcPr>
          <w:p w14:paraId="2DA6D3F6" w14:textId="57293B5E" w:rsidR="00542511" w:rsidRPr="000E2B6B" w:rsidRDefault="00542511" w:rsidP="005B2619">
            <w:pPr>
              <w:jc w:val="center"/>
              <w:rPr>
                <w:rStyle w:val="Strong"/>
                <w:b w:val="0"/>
              </w:rPr>
            </w:pPr>
          </w:p>
        </w:tc>
        <w:tc>
          <w:tcPr>
            <w:tcW w:w="682" w:type="pct"/>
            <w:vAlign w:val="center"/>
          </w:tcPr>
          <w:p w14:paraId="741E4CD2" w14:textId="396E4A68" w:rsidR="00542511" w:rsidRPr="000E2B6B" w:rsidRDefault="00542511" w:rsidP="005B2619">
            <w:pPr>
              <w:jc w:val="center"/>
              <w:rPr>
                <w:rStyle w:val="Strong"/>
                <w:b w:val="0"/>
              </w:rPr>
            </w:pPr>
          </w:p>
        </w:tc>
        <w:tc>
          <w:tcPr>
            <w:tcW w:w="882" w:type="pct"/>
            <w:vAlign w:val="center"/>
          </w:tcPr>
          <w:p w14:paraId="497606EE" w14:textId="5111F845" w:rsidR="00542511" w:rsidRPr="000E2B6B" w:rsidRDefault="00542511" w:rsidP="00D35C9C">
            <w:pPr>
              <w:rPr>
                <w:rStyle w:val="Strong"/>
                <w:b w:val="0"/>
              </w:rPr>
            </w:pPr>
          </w:p>
        </w:tc>
        <w:tc>
          <w:tcPr>
            <w:tcW w:w="3156" w:type="pct"/>
          </w:tcPr>
          <w:p w14:paraId="119A1643" w14:textId="78A79BD3" w:rsidR="00542511" w:rsidRPr="000E2B6B" w:rsidRDefault="00542511" w:rsidP="005B2619">
            <w:pPr>
              <w:rPr>
                <w:rStyle w:val="Strong"/>
                <w:b w:val="0"/>
                <w:bCs w:val="0"/>
              </w:rPr>
            </w:pPr>
          </w:p>
        </w:tc>
      </w:tr>
    </w:tbl>
    <w:p w14:paraId="79352D07" w14:textId="77777777" w:rsidR="008E0122" w:rsidRDefault="008E0122" w:rsidP="008E0122">
      <w:pPr>
        <w:pStyle w:val="Reminders"/>
        <w:rPr>
          <w:rFonts w:asciiTheme="minorHAnsi" w:hAnsiTheme="minorHAnsi" w:cstheme="minorHAnsi"/>
          <w:b/>
          <w:i w:val="0"/>
          <w:color w:val="auto"/>
          <w:szCs w:val="22"/>
        </w:rPr>
      </w:pPr>
    </w:p>
    <w:p w14:paraId="4371F21B" w14:textId="77777777" w:rsidR="00B1694E" w:rsidRPr="003F341E" w:rsidRDefault="00B1694E" w:rsidP="00B1694E">
      <w:pPr>
        <w:pStyle w:val="NoSpacing"/>
        <w:rPr>
          <w:sz w:val="20"/>
          <w:szCs w:val="20"/>
        </w:rPr>
      </w:pPr>
      <w:r w:rsidRPr="003F341E">
        <w:rPr>
          <w:b/>
          <w:sz w:val="20"/>
          <w:szCs w:val="20"/>
        </w:rPr>
        <w:t>Eligibility requirements</w:t>
      </w:r>
    </w:p>
    <w:p w14:paraId="0561DA37" w14:textId="77777777" w:rsidR="00B1694E" w:rsidRPr="003F341E" w:rsidRDefault="00B1694E" w:rsidP="00B1694E">
      <w:pPr>
        <w:pStyle w:val="NoSpacing"/>
        <w:rPr>
          <w:sz w:val="20"/>
          <w:szCs w:val="20"/>
        </w:rPr>
      </w:pPr>
      <w:r w:rsidRPr="003F341E">
        <w:rPr>
          <w:sz w:val="20"/>
          <w:szCs w:val="20"/>
        </w:rPr>
        <w:t>Rebates for this measure are restricted to health care facilities. Only facilities utilizing natural gas powered water heating equipment are eligible for rebates for this measure. Products installed must meet Office of Statewide Health Planning and Development (OSHPD) code and regulation.</w:t>
      </w:r>
    </w:p>
    <w:p w14:paraId="15FD32BF" w14:textId="77777777" w:rsidR="00B1694E" w:rsidRPr="003F341E" w:rsidRDefault="00B1694E" w:rsidP="00B1694E">
      <w:pPr>
        <w:pStyle w:val="NoSpacing"/>
        <w:rPr>
          <w:sz w:val="20"/>
          <w:szCs w:val="20"/>
        </w:rPr>
      </w:pPr>
    </w:p>
    <w:p w14:paraId="2D9076CB" w14:textId="77777777" w:rsidR="00B1694E" w:rsidRPr="003F341E" w:rsidRDefault="00B1694E" w:rsidP="00B1694E">
      <w:pPr>
        <w:pStyle w:val="NoSpacing"/>
        <w:rPr>
          <w:sz w:val="20"/>
          <w:szCs w:val="20"/>
        </w:rPr>
      </w:pPr>
      <w:r w:rsidRPr="003F341E">
        <w:rPr>
          <w:sz w:val="20"/>
          <w:szCs w:val="20"/>
        </w:rPr>
        <w:t>Since this is a Retrofit Add-on (REA) measure, rebates do not apply to new construction.</w:t>
      </w:r>
    </w:p>
    <w:p w14:paraId="1A2A266F" w14:textId="77777777" w:rsidR="00B1694E" w:rsidRPr="003F341E" w:rsidRDefault="00B1694E" w:rsidP="00B1694E">
      <w:pPr>
        <w:pStyle w:val="NoSpacing"/>
        <w:rPr>
          <w:sz w:val="20"/>
          <w:szCs w:val="20"/>
        </w:rPr>
      </w:pPr>
    </w:p>
    <w:p w14:paraId="5E113E40" w14:textId="77777777" w:rsidR="00B1694E" w:rsidRPr="003F341E" w:rsidRDefault="00B1694E" w:rsidP="00B1694E">
      <w:pPr>
        <w:pStyle w:val="NoSpacing"/>
        <w:rPr>
          <w:sz w:val="20"/>
          <w:szCs w:val="20"/>
        </w:rPr>
      </w:pPr>
      <w:r w:rsidRPr="003F341E">
        <w:rPr>
          <w:sz w:val="20"/>
          <w:szCs w:val="20"/>
        </w:rPr>
        <w:t>Only LFR models labeled as “Vandal Proof” or are not removable without a proprietary tool are considered for the rebate, with the exception of dialysis and scrub sink locations. There are currently 37 “Vandal Proof” LFRs in the appropriate size options available for purchase.</w:t>
      </w:r>
    </w:p>
    <w:p w14:paraId="568DF37E" w14:textId="77777777" w:rsidR="00B1694E" w:rsidRPr="003F341E" w:rsidRDefault="00B1694E" w:rsidP="00B1694E">
      <w:pPr>
        <w:pStyle w:val="NoSpacing"/>
        <w:rPr>
          <w:sz w:val="20"/>
          <w:szCs w:val="20"/>
        </w:rPr>
      </w:pPr>
    </w:p>
    <w:p w14:paraId="1EC3053D" w14:textId="77777777" w:rsidR="00B1694E" w:rsidRPr="003F341E" w:rsidRDefault="00B1694E" w:rsidP="00B1694E">
      <w:pPr>
        <w:pStyle w:val="NoSpacing"/>
        <w:rPr>
          <w:sz w:val="20"/>
          <w:szCs w:val="20"/>
        </w:rPr>
      </w:pPr>
      <w:r w:rsidRPr="003F341E">
        <w:rPr>
          <w:b/>
          <w:sz w:val="20"/>
          <w:szCs w:val="20"/>
        </w:rPr>
        <w:t>Implementation and installation requirements</w:t>
      </w:r>
    </w:p>
    <w:p w14:paraId="3AACAE2E" w14:textId="77777777" w:rsidR="00B1694E" w:rsidRPr="003F341E" w:rsidRDefault="00B1694E" w:rsidP="00B1694E">
      <w:pPr>
        <w:rPr>
          <w:sz w:val="20"/>
          <w:szCs w:val="20"/>
        </w:rPr>
      </w:pPr>
      <w:r w:rsidRPr="003F341E">
        <w:rPr>
          <w:sz w:val="20"/>
          <w:szCs w:val="20"/>
        </w:rPr>
        <w:t xml:space="preserve">This measure is to be implemented in Health/Medical buildings (hospitals, clinics, and nursing homes) of the Commercial sector as a Retrofit Add-on (REA) measure for existing faucets that do not already have a flow restricting device installed. </w:t>
      </w:r>
    </w:p>
    <w:p w14:paraId="3F72B255" w14:textId="77777777" w:rsidR="008E0122" w:rsidRDefault="008E0122" w:rsidP="008E0122">
      <w:pPr>
        <w:pStyle w:val="Reminders"/>
        <w:rPr>
          <w:rFonts w:asciiTheme="minorHAnsi" w:hAnsiTheme="minorHAnsi" w:cstheme="minorHAnsi"/>
          <w:b/>
          <w:i w:val="0"/>
          <w:color w:val="auto"/>
          <w:szCs w:val="22"/>
        </w:rPr>
      </w:pPr>
    </w:p>
    <w:p w14:paraId="3B2DD29C" w14:textId="1E35768E" w:rsidR="008E0122" w:rsidRDefault="008E0122" w:rsidP="008E0122"/>
    <w:p w14:paraId="0411DF5C" w14:textId="48FEA0BD" w:rsidR="00B1694E" w:rsidRDefault="00B1694E" w:rsidP="008E0122"/>
    <w:p w14:paraId="6B69594F" w14:textId="19892A40" w:rsidR="00B1694E" w:rsidRDefault="00B1694E" w:rsidP="008E0122"/>
    <w:p w14:paraId="3E269C29" w14:textId="281B36B6" w:rsidR="00B1694E" w:rsidRDefault="00B1694E" w:rsidP="008E0122"/>
    <w:p w14:paraId="370EA9A7" w14:textId="32E06F40" w:rsidR="00B1694E" w:rsidRDefault="00B1694E" w:rsidP="008E0122"/>
    <w:p w14:paraId="6718A7C4" w14:textId="77777777" w:rsidR="00B1694E" w:rsidRPr="008E0122" w:rsidRDefault="00B1694E" w:rsidP="008E0122">
      <w:bookmarkStart w:id="3" w:name="_GoBack"/>
      <w:bookmarkEnd w:id="3"/>
    </w:p>
    <w:p w14:paraId="615A711B" w14:textId="26506017" w:rsidR="00BA08D7" w:rsidRDefault="00BA08D7" w:rsidP="00BA08D7"/>
    <w:p w14:paraId="748322AD" w14:textId="32CB3BFC" w:rsidR="00982C1F" w:rsidRDefault="00982C1F" w:rsidP="00BA08D7"/>
    <w:p w14:paraId="39C8F8E8" w14:textId="08D33EA5" w:rsidR="00982C1F" w:rsidRDefault="00982C1F" w:rsidP="00BA08D7"/>
    <w:p w14:paraId="2B1706AD" w14:textId="77777777" w:rsidR="003F341E" w:rsidRDefault="003F341E" w:rsidP="00BA08D7"/>
    <w:p w14:paraId="65B1F172" w14:textId="77777777" w:rsidR="00BA08D7" w:rsidRDefault="00BA08D7" w:rsidP="00BA08D7"/>
    <w:p w14:paraId="01957425" w14:textId="77777777" w:rsidR="00CB11C9" w:rsidRDefault="00CB11C9" w:rsidP="00CB11C9">
      <w:pPr>
        <w:pStyle w:val="Caption"/>
        <w:keepNext/>
        <w:jc w:val="center"/>
      </w:pPr>
      <w:r>
        <w:lastRenderedPageBreak/>
        <w:t xml:space="preserve">Table </w:t>
      </w:r>
      <w:fldSimple w:instr=" SEQ Table \* ARABIC ">
        <w:r>
          <w:rPr>
            <w:noProof/>
          </w:rPr>
          <w:t>1</w:t>
        </w:r>
      </w:fldSimple>
      <w:r>
        <w:t>: Measure Summary Table</w:t>
      </w:r>
    </w:p>
    <w:p w14:paraId="5D95525B" w14:textId="77777777" w:rsidR="00CB11C9" w:rsidRDefault="00CB11C9" w:rsidP="00CB11C9"/>
    <w:tbl>
      <w:tblPr>
        <w:tblStyle w:val="TableGrid"/>
        <w:tblW w:w="11070" w:type="dxa"/>
        <w:tblInd w:w="-815" w:type="dxa"/>
        <w:tblLook w:val="04A0" w:firstRow="1" w:lastRow="0" w:firstColumn="1" w:lastColumn="0" w:noHBand="0" w:noVBand="1"/>
      </w:tblPr>
      <w:tblGrid>
        <w:gridCol w:w="2303"/>
        <w:gridCol w:w="8767"/>
      </w:tblGrid>
      <w:tr w:rsidR="00CB11C9" w14:paraId="13E75198" w14:textId="77777777" w:rsidTr="008E0122">
        <w:tc>
          <w:tcPr>
            <w:tcW w:w="2303" w:type="dxa"/>
          </w:tcPr>
          <w:p w14:paraId="44855FA0" w14:textId="77777777" w:rsidR="00CB11C9" w:rsidRPr="00D86243" w:rsidRDefault="00CB11C9" w:rsidP="005B2619">
            <w:pPr>
              <w:jc w:val="center"/>
              <w:rPr>
                <w:b/>
              </w:rPr>
            </w:pPr>
            <w:r w:rsidRPr="00D86243">
              <w:rPr>
                <w:b/>
              </w:rPr>
              <w:t>Section</w:t>
            </w:r>
          </w:p>
        </w:tc>
        <w:tc>
          <w:tcPr>
            <w:tcW w:w="8767" w:type="dxa"/>
          </w:tcPr>
          <w:p w14:paraId="4BB25803" w14:textId="77777777" w:rsidR="00CB11C9" w:rsidRPr="00D86243" w:rsidRDefault="00CB11C9" w:rsidP="005B2619">
            <w:pPr>
              <w:jc w:val="center"/>
              <w:rPr>
                <w:b/>
              </w:rPr>
            </w:pPr>
            <w:r w:rsidRPr="00D86243">
              <w:rPr>
                <w:b/>
              </w:rPr>
              <w:t>Value</w:t>
            </w:r>
          </w:p>
        </w:tc>
      </w:tr>
      <w:tr w:rsidR="00CB11C9" w14:paraId="0D167685" w14:textId="77777777" w:rsidTr="008E0122">
        <w:tc>
          <w:tcPr>
            <w:tcW w:w="2303" w:type="dxa"/>
            <w:vAlign w:val="center"/>
          </w:tcPr>
          <w:p w14:paraId="2C31FA47" w14:textId="77777777" w:rsidR="00CB11C9" w:rsidRPr="001D77F7" w:rsidRDefault="00CB11C9" w:rsidP="005B2619">
            <w:pPr>
              <w:rPr>
                <w:b/>
              </w:rPr>
            </w:pPr>
            <w:r w:rsidRPr="001D77F7">
              <w:rPr>
                <w:b/>
              </w:rPr>
              <w:t>1.1 Measure &amp; Baseline Data</w:t>
            </w:r>
          </w:p>
        </w:tc>
        <w:tc>
          <w:tcPr>
            <w:tcW w:w="8767" w:type="dxa"/>
          </w:tcPr>
          <w:tbl>
            <w:tblPr>
              <w:tblStyle w:val="TableGrid"/>
              <w:tblW w:w="0" w:type="auto"/>
              <w:tblLook w:val="04A0" w:firstRow="1" w:lastRow="0" w:firstColumn="1" w:lastColumn="0" w:noHBand="0" w:noVBand="1"/>
            </w:tblPr>
            <w:tblGrid>
              <w:gridCol w:w="1190"/>
              <w:gridCol w:w="1075"/>
              <w:gridCol w:w="2250"/>
              <w:gridCol w:w="2647"/>
              <w:gridCol w:w="1379"/>
            </w:tblGrid>
            <w:tr w:rsidR="00857E51" w:rsidRPr="003F341E" w14:paraId="1D3B08CC" w14:textId="77777777" w:rsidTr="00014A11">
              <w:tc>
                <w:tcPr>
                  <w:tcW w:w="2265" w:type="dxa"/>
                  <w:gridSpan w:val="2"/>
                </w:tcPr>
                <w:p w14:paraId="661CAFFF" w14:textId="3647D16A" w:rsidR="00857E51" w:rsidRPr="003F341E" w:rsidRDefault="00857E51" w:rsidP="0046316A">
                  <w:pPr>
                    <w:jc w:val="center"/>
                    <w:rPr>
                      <w:sz w:val="20"/>
                      <w:szCs w:val="20"/>
                    </w:rPr>
                  </w:pPr>
                  <w:r w:rsidRPr="003F341E">
                    <w:rPr>
                      <w:sz w:val="20"/>
                      <w:szCs w:val="20"/>
                    </w:rPr>
                    <w:t>Measure codes</w:t>
                  </w:r>
                </w:p>
              </w:tc>
              <w:tc>
                <w:tcPr>
                  <w:tcW w:w="2250" w:type="dxa"/>
                </w:tcPr>
                <w:p w14:paraId="3ECDC4DD" w14:textId="77777777" w:rsidR="00857E51" w:rsidRPr="003F341E" w:rsidRDefault="00857E51" w:rsidP="00BE7F63">
                  <w:pPr>
                    <w:rPr>
                      <w:sz w:val="20"/>
                      <w:szCs w:val="20"/>
                    </w:rPr>
                  </w:pPr>
                </w:p>
              </w:tc>
              <w:tc>
                <w:tcPr>
                  <w:tcW w:w="4026" w:type="dxa"/>
                  <w:gridSpan w:val="2"/>
                </w:tcPr>
                <w:p w14:paraId="7EF1CC64" w14:textId="7456BE41" w:rsidR="00857E51" w:rsidRPr="003F341E" w:rsidRDefault="00857E51" w:rsidP="00BE7F63">
                  <w:pPr>
                    <w:rPr>
                      <w:sz w:val="20"/>
                      <w:szCs w:val="20"/>
                    </w:rPr>
                  </w:pPr>
                  <w:r w:rsidRPr="003F341E">
                    <w:rPr>
                      <w:sz w:val="20"/>
                      <w:szCs w:val="20"/>
                    </w:rPr>
                    <w:t>Measures Characteristics</w:t>
                  </w:r>
                </w:p>
              </w:tc>
            </w:tr>
            <w:tr w:rsidR="00857E51" w:rsidRPr="003F341E" w14:paraId="2A437FEE" w14:textId="77777777" w:rsidTr="00014A11">
              <w:tc>
                <w:tcPr>
                  <w:tcW w:w="1190" w:type="dxa"/>
                </w:tcPr>
                <w:p w14:paraId="7CCD464F" w14:textId="034F21F1" w:rsidR="00857E51" w:rsidRPr="003F341E" w:rsidRDefault="00857E51" w:rsidP="00BE7F63">
                  <w:pPr>
                    <w:rPr>
                      <w:sz w:val="20"/>
                      <w:szCs w:val="20"/>
                    </w:rPr>
                  </w:pPr>
                  <w:r w:rsidRPr="003F341E">
                    <w:rPr>
                      <w:sz w:val="20"/>
                      <w:szCs w:val="20"/>
                    </w:rPr>
                    <w:t>SCG</w:t>
                  </w:r>
                </w:p>
              </w:tc>
              <w:tc>
                <w:tcPr>
                  <w:tcW w:w="1075" w:type="dxa"/>
                </w:tcPr>
                <w:p w14:paraId="6A0F3A7C" w14:textId="2DDF6C8B" w:rsidR="00857E51" w:rsidRPr="003F341E" w:rsidRDefault="00857E51" w:rsidP="00BE7F63">
                  <w:pPr>
                    <w:rPr>
                      <w:sz w:val="20"/>
                      <w:szCs w:val="20"/>
                    </w:rPr>
                  </w:pPr>
                  <w:r w:rsidRPr="003F341E">
                    <w:rPr>
                      <w:sz w:val="20"/>
                      <w:szCs w:val="20"/>
                    </w:rPr>
                    <w:t>SDG&amp;E</w:t>
                  </w:r>
                </w:p>
              </w:tc>
              <w:tc>
                <w:tcPr>
                  <w:tcW w:w="2250" w:type="dxa"/>
                </w:tcPr>
                <w:p w14:paraId="44C04350" w14:textId="76957717" w:rsidR="00857E51" w:rsidRPr="003F341E" w:rsidRDefault="00857E51" w:rsidP="00BE7F63">
                  <w:pPr>
                    <w:rPr>
                      <w:sz w:val="20"/>
                      <w:szCs w:val="20"/>
                    </w:rPr>
                  </w:pPr>
                  <w:r w:rsidRPr="003F341E">
                    <w:rPr>
                      <w:sz w:val="20"/>
                      <w:szCs w:val="20"/>
                    </w:rPr>
                    <w:t>SDG&amp;E Measure ID</w:t>
                  </w:r>
                </w:p>
              </w:tc>
              <w:tc>
                <w:tcPr>
                  <w:tcW w:w="2647" w:type="dxa"/>
                </w:tcPr>
                <w:p w14:paraId="65439590" w14:textId="770638DC" w:rsidR="00857E51" w:rsidRPr="003F341E" w:rsidRDefault="00857E51" w:rsidP="00BE7F63">
                  <w:pPr>
                    <w:rPr>
                      <w:sz w:val="20"/>
                      <w:szCs w:val="20"/>
                    </w:rPr>
                  </w:pPr>
                  <w:r w:rsidRPr="003F341E">
                    <w:rPr>
                      <w:sz w:val="20"/>
                      <w:szCs w:val="20"/>
                    </w:rPr>
                    <w:t>Measure Name</w:t>
                  </w:r>
                </w:p>
              </w:tc>
              <w:tc>
                <w:tcPr>
                  <w:tcW w:w="1379" w:type="dxa"/>
                </w:tcPr>
                <w:p w14:paraId="6CCDB271" w14:textId="52DF7355" w:rsidR="00857E51" w:rsidRPr="003F341E" w:rsidRDefault="00857E51" w:rsidP="00BE7F63">
                  <w:pPr>
                    <w:rPr>
                      <w:sz w:val="20"/>
                      <w:szCs w:val="20"/>
                    </w:rPr>
                  </w:pPr>
                  <w:r w:rsidRPr="003F341E">
                    <w:rPr>
                      <w:sz w:val="20"/>
                      <w:szCs w:val="20"/>
                    </w:rPr>
                    <w:t>MeasAppType</w:t>
                  </w:r>
                </w:p>
              </w:tc>
            </w:tr>
            <w:tr w:rsidR="00857E51" w:rsidRPr="003F341E" w14:paraId="3D49F30B" w14:textId="77777777" w:rsidTr="00014A11">
              <w:tc>
                <w:tcPr>
                  <w:tcW w:w="1190" w:type="dxa"/>
                </w:tcPr>
                <w:p w14:paraId="7A8F9012" w14:textId="390B43B0" w:rsidR="00857E51" w:rsidRPr="003F341E" w:rsidRDefault="00857E51" w:rsidP="00B1694E">
                  <w:pPr>
                    <w:rPr>
                      <w:sz w:val="20"/>
                      <w:szCs w:val="20"/>
                    </w:rPr>
                  </w:pPr>
                  <w:r w:rsidRPr="003F341E">
                    <w:rPr>
                      <w:rFonts w:cstheme="minorHAnsi"/>
                      <w:sz w:val="20"/>
                      <w:szCs w:val="20"/>
                    </w:rPr>
                    <w:t>ShwFlr001</w:t>
                  </w:r>
                </w:p>
              </w:tc>
              <w:tc>
                <w:tcPr>
                  <w:tcW w:w="1075" w:type="dxa"/>
                </w:tcPr>
                <w:p w14:paraId="63C4F6B9" w14:textId="77777777" w:rsidR="00857E51" w:rsidRPr="003F341E" w:rsidRDefault="00857E51" w:rsidP="00B1694E">
                  <w:pPr>
                    <w:rPr>
                      <w:sz w:val="20"/>
                      <w:szCs w:val="20"/>
                    </w:rPr>
                  </w:pPr>
                  <w:r w:rsidRPr="003F341E">
                    <w:rPr>
                      <w:sz w:val="20"/>
                      <w:szCs w:val="20"/>
                    </w:rPr>
                    <w:t>464079</w:t>
                  </w:r>
                </w:p>
                <w:p w14:paraId="7096EEBC" w14:textId="62117570" w:rsidR="00857E51" w:rsidRPr="003F341E" w:rsidRDefault="00857E51" w:rsidP="00B1694E">
                  <w:pPr>
                    <w:rPr>
                      <w:sz w:val="20"/>
                      <w:szCs w:val="20"/>
                    </w:rPr>
                  </w:pPr>
                  <w:r w:rsidRPr="003F341E">
                    <w:rPr>
                      <w:sz w:val="20"/>
                      <w:szCs w:val="20"/>
                    </w:rPr>
                    <w:t>464083</w:t>
                  </w:r>
                </w:p>
              </w:tc>
              <w:tc>
                <w:tcPr>
                  <w:tcW w:w="2250" w:type="dxa"/>
                </w:tcPr>
                <w:p w14:paraId="0AD25AB3" w14:textId="2DA4D4BD" w:rsidR="00857E51" w:rsidRPr="003F341E" w:rsidRDefault="00857E51" w:rsidP="00B1694E">
                  <w:pPr>
                    <w:rPr>
                      <w:sz w:val="20"/>
                      <w:szCs w:val="20"/>
                    </w:rPr>
                  </w:pPr>
                  <w:r w:rsidRPr="003F341E">
                    <w:rPr>
                      <w:sz w:val="20"/>
                      <w:szCs w:val="20"/>
                    </w:rPr>
                    <w:t>WPSDGENRWH0015-Rev00-Msr001</w:t>
                  </w:r>
                </w:p>
              </w:tc>
              <w:tc>
                <w:tcPr>
                  <w:tcW w:w="2647" w:type="dxa"/>
                </w:tcPr>
                <w:p w14:paraId="69518739" w14:textId="1EE3236A" w:rsidR="00857E51" w:rsidRPr="003F341E" w:rsidRDefault="00857E51" w:rsidP="00B1694E">
                  <w:pPr>
                    <w:rPr>
                      <w:sz w:val="20"/>
                      <w:szCs w:val="20"/>
                    </w:rPr>
                  </w:pPr>
                  <w:r w:rsidRPr="003F341E">
                    <w:rPr>
                      <w:sz w:val="20"/>
                      <w:szCs w:val="20"/>
                    </w:rPr>
                    <w:t xml:space="preserve">0.5 GPM Flow Rate Laminar Flow Restrictor being installed on a 2.7 GPM Flow Rate Faucet Base Case </w:t>
                  </w:r>
                </w:p>
              </w:tc>
              <w:tc>
                <w:tcPr>
                  <w:tcW w:w="1379" w:type="dxa"/>
                </w:tcPr>
                <w:p w14:paraId="77BD8951" w14:textId="0CEB46E4" w:rsidR="00857E51" w:rsidRPr="003F341E" w:rsidRDefault="00857E51" w:rsidP="00B1694E">
                  <w:pPr>
                    <w:rPr>
                      <w:sz w:val="20"/>
                      <w:szCs w:val="20"/>
                    </w:rPr>
                  </w:pPr>
                  <w:r w:rsidRPr="003F341E">
                    <w:rPr>
                      <w:sz w:val="20"/>
                      <w:szCs w:val="20"/>
                    </w:rPr>
                    <w:t>REA</w:t>
                  </w:r>
                </w:p>
              </w:tc>
            </w:tr>
            <w:tr w:rsidR="00857E51" w:rsidRPr="003F341E" w14:paraId="3CD490CA" w14:textId="77777777" w:rsidTr="00014A11">
              <w:tc>
                <w:tcPr>
                  <w:tcW w:w="1190" w:type="dxa"/>
                </w:tcPr>
                <w:p w14:paraId="58FDC855" w14:textId="669212E2" w:rsidR="00857E51" w:rsidRPr="003F341E" w:rsidRDefault="00857E51" w:rsidP="00B1694E">
                  <w:pPr>
                    <w:rPr>
                      <w:sz w:val="20"/>
                      <w:szCs w:val="20"/>
                    </w:rPr>
                  </w:pPr>
                  <w:r w:rsidRPr="003F341E">
                    <w:rPr>
                      <w:rFonts w:cstheme="minorHAnsi"/>
                      <w:sz w:val="20"/>
                      <w:szCs w:val="20"/>
                    </w:rPr>
                    <w:t>ShwFlr002</w:t>
                  </w:r>
                </w:p>
              </w:tc>
              <w:tc>
                <w:tcPr>
                  <w:tcW w:w="1075" w:type="dxa"/>
                </w:tcPr>
                <w:p w14:paraId="586CB602" w14:textId="77777777" w:rsidR="00857E51" w:rsidRPr="003F341E" w:rsidRDefault="00857E51" w:rsidP="00B1694E">
                  <w:pPr>
                    <w:rPr>
                      <w:sz w:val="20"/>
                      <w:szCs w:val="20"/>
                    </w:rPr>
                  </w:pPr>
                  <w:r w:rsidRPr="003F341E">
                    <w:rPr>
                      <w:sz w:val="20"/>
                      <w:szCs w:val="20"/>
                    </w:rPr>
                    <w:t>464080</w:t>
                  </w:r>
                </w:p>
                <w:p w14:paraId="1AFB4ED5" w14:textId="2DD0A48D" w:rsidR="00857E51" w:rsidRPr="003F341E" w:rsidRDefault="00857E51" w:rsidP="00B1694E">
                  <w:pPr>
                    <w:rPr>
                      <w:sz w:val="20"/>
                      <w:szCs w:val="20"/>
                    </w:rPr>
                  </w:pPr>
                  <w:r w:rsidRPr="003F341E">
                    <w:rPr>
                      <w:sz w:val="20"/>
                      <w:szCs w:val="20"/>
                    </w:rPr>
                    <w:t>464084</w:t>
                  </w:r>
                </w:p>
              </w:tc>
              <w:tc>
                <w:tcPr>
                  <w:tcW w:w="2250" w:type="dxa"/>
                </w:tcPr>
                <w:p w14:paraId="4822BCB9" w14:textId="5D3A540A" w:rsidR="00857E51" w:rsidRPr="003F341E" w:rsidRDefault="00857E51" w:rsidP="00B1694E">
                  <w:pPr>
                    <w:rPr>
                      <w:sz w:val="20"/>
                      <w:szCs w:val="20"/>
                    </w:rPr>
                  </w:pPr>
                  <w:r w:rsidRPr="003F341E">
                    <w:rPr>
                      <w:sz w:val="20"/>
                      <w:szCs w:val="20"/>
                    </w:rPr>
                    <w:t>WPSDGENRWH0015-Rev00-Msr002</w:t>
                  </w:r>
                </w:p>
              </w:tc>
              <w:tc>
                <w:tcPr>
                  <w:tcW w:w="2647" w:type="dxa"/>
                </w:tcPr>
                <w:p w14:paraId="360BEEB6" w14:textId="42EE398D" w:rsidR="00857E51" w:rsidRPr="003F341E" w:rsidRDefault="00857E51" w:rsidP="00B1694E">
                  <w:pPr>
                    <w:rPr>
                      <w:sz w:val="20"/>
                      <w:szCs w:val="20"/>
                    </w:rPr>
                  </w:pPr>
                  <w:r w:rsidRPr="003F341E">
                    <w:rPr>
                      <w:sz w:val="20"/>
                      <w:szCs w:val="20"/>
                    </w:rPr>
                    <w:t>1.0 GPM Flow Rate Laminar Flow Restrictor being installed on a 2.7 GPM Flow Rate Faucet Base Case</w:t>
                  </w:r>
                </w:p>
              </w:tc>
              <w:tc>
                <w:tcPr>
                  <w:tcW w:w="1379" w:type="dxa"/>
                </w:tcPr>
                <w:p w14:paraId="02D191D7" w14:textId="0614C9E5" w:rsidR="00857E51" w:rsidRPr="003F341E" w:rsidRDefault="00857E51" w:rsidP="00B1694E">
                  <w:pPr>
                    <w:rPr>
                      <w:sz w:val="20"/>
                      <w:szCs w:val="20"/>
                    </w:rPr>
                  </w:pPr>
                  <w:r w:rsidRPr="003F341E">
                    <w:rPr>
                      <w:sz w:val="20"/>
                      <w:szCs w:val="20"/>
                    </w:rPr>
                    <w:t>REA</w:t>
                  </w:r>
                </w:p>
              </w:tc>
            </w:tr>
            <w:tr w:rsidR="00857E51" w:rsidRPr="003F341E" w14:paraId="6379AE6D" w14:textId="77777777" w:rsidTr="00014A11">
              <w:tc>
                <w:tcPr>
                  <w:tcW w:w="1190" w:type="dxa"/>
                </w:tcPr>
                <w:p w14:paraId="41C36B41" w14:textId="59434E04" w:rsidR="00857E51" w:rsidRPr="003F341E" w:rsidRDefault="00857E51" w:rsidP="00B1694E">
                  <w:pPr>
                    <w:rPr>
                      <w:sz w:val="20"/>
                      <w:szCs w:val="20"/>
                    </w:rPr>
                  </w:pPr>
                  <w:r w:rsidRPr="003F341E">
                    <w:rPr>
                      <w:rFonts w:cstheme="minorHAnsi"/>
                      <w:sz w:val="20"/>
                      <w:szCs w:val="20"/>
                    </w:rPr>
                    <w:t>ShwFlr003</w:t>
                  </w:r>
                </w:p>
              </w:tc>
              <w:tc>
                <w:tcPr>
                  <w:tcW w:w="1075" w:type="dxa"/>
                </w:tcPr>
                <w:p w14:paraId="4EA2238B" w14:textId="77777777" w:rsidR="00857E51" w:rsidRPr="003F341E" w:rsidRDefault="00857E51" w:rsidP="00B1694E">
                  <w:pPr>
                    <w:rPr>
                      <w:sz w:val="20"/>
                      <w:szCs w:val="20"/>
                    </w:rPr>
                  </w:pPr>
                  <w:r w:rsidRPr="003F341E">
                    <w:rPr>
                      <w:sz w:val="20"/>
                      <w:szCs w:val="20"/>
                    </w:rPr>
                    <w:t>464081</w:t>
                  </w:r>
                </w:p>
                <w:p w14:paraId="00F66D3E" w14:textId="0638DDD0" w:rsidR="00857E51" w:rsidRPr="003F341E" w:rsidRDefault="00857E51" w:rsidP="00B1694E">
                  <w:pPr>
                    <w:rPr>
                      <w:sz w:val="20"/>
                      <w:szCs w:val="20"/>
                    </w:rPr>
                  </w:pPr>
                </w:p>
              </w:tc>
              <w:tc>
                <w:tcPr>
                  <w:tcW w:w="2250" w:type="dxa"/>
                </w:tcPr>
                <w:p w14:paraId="0D7880F6" w14:textId="555288AA" w:rsidR="00857E51" w:rsidRPr="003F341E" w:rsidRDefault="00857E51" w:rsidP="00B1694E">
                  <w:pPr>
                    <w:rPr>
                      <w:sz w:val="20"/>
                      <w:szCs w:val="20"/>
                    </w:rPr>
                  </w:pPr>
                  <w:r w:rsidRPr="003F341E">
                    <w:rPr>
                      <w:sz w:val="20"/>
                      <w:szCs w:val="20"/>
                    </w:rPr>
                    <w:t>WPSDGENRWH0015-Rev00-Msr003</w:t>
                  </w:r>
                </w:p>
              </w:tc>
              <w:tc>
                <w:tcPr>
                  <w:tcW w:w="2647" w:type="dxa"/>
                </w:tcPr>
                <w:p w14:paraId="08C981B9" w14:textId="77AEF1A0" w:rsidR="00857E51" w:rsidRPr="003F341E" w:rsidRDefault="00857E51" w:rsidP="00B1694E">
                  <w:pPr>
                    <w:rPr>
                      <w:sz w:val="20"/>
                      <w:szCs w:val="20"/>
                    </w:rPr>
                  </w:pPr>
                  <w:r w:rsidRPr="003F341E">
                    <w:rPr>
                      <w:sz w:val="20"/>
                      <w:szCs w:val="20"/>
                    </w:rPr>
                    <w:t>1.5 GPM Flow Rate Laminar Flow Restrictor being installed on a 2.7 GPM Flow Rate Faucet Base Case</w:t>
                  </w:r>
                </w:p>
              </w:tc>
              <w:tc>
                <w:tcPr>
                  <w:tcW w:w="1379" w:type="dxa"/>
                </w:tcPr>
                <w:p w14:paraId="35825167" w14:textId="51202549" w:rsidR="00857E51" w:rsidRPr="003F341E" w:rsidRDefault="00857E51" w:rsidP="00B1694E">
                  <w:pPr>
                    <w:rPr>
                      <w:sz w:val="20"/>
                      <w:szCs w:val="20"/>
                    </w:rPr>
                  </w:pPr>
                  <w:r w:rsidRPr="003F341E">
                    <w:rPr>
                      <w:sz w:val="20"/>
                      <w:szCs w:val="20"/>
                    </w:rPr>
                    <w:t>REA</w:t>
                  </w:r>
                </w:p>
              </w:tc>
            </w:tr>
            <w:tr w:rsidR="00857E51" w:rsidRPr="003F341E" w14:paraId="72A9A09A" w14:textId="77777777" w:rsidTr="00014A11">
              <w:tc>
                <w:tcPr>
                  <w:tcW w:w="1190" w:type="dxa"/>
                </w:tcPr>
                <w:p w14:paraId="09248710" w14:textId="5A718C4C" w:rsidR="00857E51" w:rsidRPr="003F341E" w:rsidRDefault="00857E51" w:rsidP="00B1694E">
                  <w:pPr>
                    <w:rPr>
                      <w:sz w:val="20"/>
                      <w:szCs w:val="20"/>
                    </w:rPr>
                  </w:pPr>
                  <w:r w:rsidRPr="003F341E">
                    <w:rPr>
                      <w:rFonts w:cstheme="minorHAnsi"/>
                      <w:sz w:val="20"/>
                      <w:szCs w:val="20"/>
                    </w:rPr>
                    <w:t>ShwFlr004</w:t>
                  </w:r>
                </w:p>
              </w:tc>
              <w:tc>
                <w:tcPr>
                  <w:tcW w:w="1075" w:type="dxa"/>
                </w:tcPr>
                <w:p w14:paraId="595E184C" w14:textId="2EB87BBC" w:rsidR="00857E51" w:rsidRPr="003F341E" w:rsidRDefault="00857E51" w:rsidP="00B1694E">
                  <w:pPr>
                    <w:rPr>
                      <w:sz w:val="20"/>
                      <w:szCs w:val="20"/>
                    </w:rPr>
                  </w:pPr>
                  <w:r w:rsidRPr="003F341E">
                    <w:rPr>
                      <w:sz w:val="20"/>
                      <w:szCs w:val="20"/>
                    </w:rPr>
                    <w:t>464082</w:t>
                  </w:r>
                </w:p>
              </w:tc>
              <w:tc>
                <w:tcPr>
                  <w:tcW w:w="2250" w:type="dxa"/>
                </w:tcPr>
                <w:p w14:paraId="63B068DC" w14:textId="1CF481E8" w:rsidR="00857E51" w:rsidRPr="003F341E" w:rsidRDefault="00857E51" w:rsidP="00B1694E">
                  <w:pPr>
                    <w:rPr>
                      <w:sz w:val="20"/>
                      <w:szCs w:val="20"/>
                    </w:rPr>
                  </w:pPr>
                  <w:r w:rsidRPr="003F341E">
                    <w:rPr>
                      <w:sz w:val="20"/>
                      <w:szCs w:val="20"/>
                    </w:rPr>
                    <w:t>WPSDGENRWH0015-Rev00-Msr004</w:t>
                  </w:r>
                </w:p>
              </w:tc>
              <w:tc>
                <w:tcPr>
                  <w:tcW w:w="2647" w:type="dxa"/>
                </w:tcPr>
                <w:p w14:paraId="09D71140" w14:textId="62F81E54" w:rsidR="00857E51" w:rsidRPr="003F341E" w:rsidRDefault="00857E51" w:rsidP="00B1694E">
                  <w:pPr>
                    <w:rPr>
                      <w:sz w:val="20"/>
                      <w:szCs w:val="20"/>
                    </w:rPr>
                  </w:pPr>
                  <w:r w:rsidRPr="003F341E">
                    <w:rPr>
                      <w:sz w:val="20"/>
                      <w:szCs w:val="20"/>
                    </w:rPr>
                    <w:t>2.2 GPM Flow Rate Laminar Flow Restrictor being installed on a 2.7 GPM Flow Rate Faucet Base Case</w:t>
                  </w:r>
                </w:p>
              </w:tc>
              <w:tc>
                <w:tcPr>
                  <w:tcW w:w="1379" w:type="dxa"/>
                </w:tcPr>
                <w:p w14:paraId="1ABD7E79" w14:textId="6AD72349" w:rsidR="00857E51" w:rsidRPr="003F341E" w:rsidRDefault="00857E51" w:rsidP="00B1694E">
                  <w:pPr>
                    <w:rPr>
                      <w:sz w:val="20"/>
                      <w:szCs w:val="20"/>
                    </w:rPr>
                  </w:pPr>
                  <w:r w:rsidRPr="003F341E">
                    <w:rPr>
                      <w:sz w:val="20"/>
                      <w:szCs w:val="20"/>
                    </w:rPr>
                    <w:t>REA</w:t>
                  </w:r>
                </w:p>
              </w:tc>
            </w:tr>
          </w:tbl>
          <w:p w14:paraId="774AAA63" w14:textId="77777777" w:rsidR="0046316A" w:rsidRPr="003F341E" w:rsidRDefault="0046316A" w:rsidP="00BE7F63">
            <w:pPr>
              <w:rPr>
                <w:rFonts w:cs="Arial"/>
                <w:sz w:val="20"/>
                <w:szCs w:val="20"/>
              </w:rPr>
            </w:pPr>
          </w:p>
          <w:p w14:paraId="75CBEADD" w14:textId="40F3E1D6" w:rsidR="0046316A" w:rsidRPr="003F341E" w:rsidRDefault="0046316A" w:rsidP="0046316A">
            <w:pPr>
              <w:pStyle w:val="Reminders"/>
              <w:rPr>
                <w:rFonts w:asciiTheme="minorHAnsi" w:hAnsiTheme="minorHAnsi" w:cstheme="minorHAnsi"/>
                <w:i w:val="0"/>
                <w:color w:val="auto"/>
                <w:sz w:val="20"/>
                <w:szCs w:val="20"/>
              </w:rPr>
            </w:pPr>
            <w:r w:rsidRPr="003F341E">
              <w:rPr>
                <w:rFonts w:asciiTheme="minorHAnsi" w:hAnsiTheme="minorHAnsi" w:cstheme="minorHAnsi"/>
                <w:i w:val="0"/>
                <w:color w:val="auto"/>
                <w:sz w:val="20"/>
                <w:szCs w:val="20"/>
              </w:rPr>
              <w:t xml:space="preserve">This energy efficiency measure is applicable to existing faucets in </w:t>
            </w:r>
            <w:r w:rsidR="00B1694E" w:rsidRPr="003F341E">
              <w:rPr>
                <w:rFonts w:asciiTheme="minorHAnsi" w:hAnsiTheme="minorHAnsi" w:cstheme="minorHAnsi"/>
                <w:i w:val="0"/>
                <w:color w:val="auto"/>
                <w:sz w:val="20"/>
                <w:szCs w:val="20"/>
              </w:rPr>
              <w:t xml:space="preserve">hospitals and </w:t>
            </w:r>
            <w:r w:rsidR="00217BE2" w:rsidRPr="003F341E">
              <w:rPr>
                <w:rFonts w:asciiTheme="minorHAnsi" w:hAnsiTheme="minorHAnsi" w:cstheme="minorHAnsi"/>
                <w:i w:val="0"/>
                <w:color w:val="auto"/>
                <w:sz w:val="20"/>
                <w:szCs w:val="20"/>
              </w:rPr>
              <w:t>health</w:t>
            </w:r>
            <w:r w:rsidR="00B1694E" w:rsidRPr="003F341E">
              <w:rPr>
                <w:rFonts w:asciiTheme="minorHAnsi" w:hAnsiTheme="minorHAnsi" w:cstheme="minorHAnsi"/>
                <w:i w:val="0"/>
                <w:color w:val="auto"/>
                <w:sz w:val="20"/>
                <w:szCs w:val="20"/>
              </w:rPr>
              <w:t xml:space="preserve"> care facilities </w:t>
            </w:r>
            <w:r w:rsidRPr="003F341E">
              <w:rPr>
                <w:rFonts w:asciiTheme="minorHAnsi" w:hAnsiTheme="minorHAnsi" w:cstheme="minorHAnsi"/>
                <w:i w:val="0"/>
                <w:color w:val="auto"/>
                <w:sz w:val="20"/>
                <w:szCs w:val="20"/>
              </w:rPr>
              <w:t>that have a maximum flow rate of 2.</w:t>
            </w:r>
            <w:r w:rsidR="00B1694E" w:rsidRPr="003F341E">
              <w:rPr>
                <w:rFonts w:asciiTheme="minorHAnsi" w:hAnsiTheme="minorHAnsi" w:cstheme="minorHAnsi"/>
                <w:i w:val="0"/>
                <w:color w:val="auto"/>
                <w:sz w:val="20"/>
                <w:szCs w:val="20"/>
              </w:rPr>
              <w:t>7</w:t>
            </w:r>
            <w:r w:rsidRPr="003F341E">
              <w:rPr>
                <w:rFonts w:asciiTheme="minorHAnsi" w:hAnsiTheme="minorHAnsi" w:cstheme="minorHAnsi"/>
                <w:i w:val="0"/>
                <w:color w:val="auto"/>
                <w:sz w:val="20"/>
                <w:szCs w:val="20"/>
              </w:rPr>
              <w:t xml:space="preserve"> GPM or greater. Only facilities that utilize natural </w:t>
            </w:r>
            <w:r w:rsidR="0098601C" w:rsidRPr="003F341E">
              <w:rPr>
                <w:rFonts w:asciiTheme="minorHAnsi" w:hAnsiTheme="minorHAnsi" w:cstheme="minorHAnsi"/>
                <w:i w:val="0"/>
                <w:color w:val="auto"/>
                <w:sz w:val="20"/>
                <w:szCs w:val="20"/>
              </w:rPr>
              <w:t>gas-powered</w:t>
            </w:r>
            <w:r w:rsidRPr="003F341E">
              <w:rPr>
                <w:rFonts w:asciiTheme="minorHAnsi" w:hAnsiTheme="minorHAnsi" w:cstheme="minorHAnsi"/>
                <w:i w:val="0"/>
                <w:color w:val="auto"/>
                <w:sz w:val="20"/>
                <w:szCs w:val="20"/>
              </w:rPr>
              <w:t xml:space="preserve"> water heating equipment are eligible to receive incentives for this measure. Natural gas must be supplied by an investor owned utilities (IOU). </w:t>
            </w:r>
          </w:p>
          <w:p w14:paraId="145B4944" w14:textId="56D9A98F" w:rsidR="00F67972" w:rsidRPr="003F341E" w:rsidRDefault="00F67972" w:rsidP="00BE7F63">
            <w:pPr>
              <w:rPr>
                <w:rFonts w:cs="Arial"/>
                <w:sz w:val="20"/>
                <w:szCs w:val="20"/>
              </w:rPr>
            </w:pPr>
          </w:p>
        </w:tc>
      </w:tr>
      <w:tr w:rsidR="00CB11C9" w14:paraId="7C876EEE" w14:textId="77777777" w:rsidTr="008E0122">
        <w:tc>
          <w:tcPr>
            <w:tcW w:w="2303" w:type="dxa"/>
            <w:vAlign w:val="center"/>
          </w:tcPr>
          <w:p w14:paraId="31CD845D" w14:textId="48686D76" w:rsidR="00CB11C9" w:rsidRPr="007D04D7" w:rsidRDefault="00CB11C9" w:rsidP="005B2619">
            <w:pPr>
              <w:rPr>
                <w:b/>
                <w:szCs w:val="22"/>
              </w:rPr>
            </w:pPr>
            <w:r w:rsidRPr="007D04D7">
              <w:rPr>
                <w:b/>
                <w:szCs w:val="22"/>
              </w:rPr>
              <w:t xml:space="preserve">1.2 Technical Description </w:t>
            </w:r>
          </w:p>
        </w:tc>
        <w:tc>
          <w:tcPr>
            <w:tcW w:w="8767" w:type="dxa"/>
          </w:tcPr>
          <w:p w14:paraId="71AB3EC1" w14:textId="61EA9398" w:rsidR="0046316A" w:rsidRPr="003F341E" w:rsidRDefault="0046316A" w:rsidP="000F5531">
            <w:pPr>
              <w:rPr>
                <w:rFonts w:cs="Arial"/>
                <w:sz w:val="20"/>
                <w:szCs w:val="20"/>
              </w:rPr>
            </w:pPr>
            <w:r w:rsidRPr="003F341E">
              <w:rPr>
                <w:rFonts w:cs="Arial"/>
                <w:sz w:val="20"/>
                <w:szCs w:val="20"/>
              </w:rPr>
              <w:t>As cited per SCG workpaper “WPSCGNRWH1</w:t>
            </w:r>
            <w:r w:rsidR="00B663D0" w:rsidRPr="003F341E">
              <w:rPr>
                <w:rFonts w:cs="Arial"/>
                <w:sz w:val="20"/>
                <w:szCs w:val="20"/>
              </w:rPr>
              <w:t>50827A</w:t>
            </w:r>
            <w:r w:rsidRPr="003F341E">
              <w:rPr>
                <w:rFonts w:cs="Arial"/>
                <w:sz w:val="20"/>
                <w:szCs w:val="20"/>
              </w:rPr>
              <w:t xml:space="preserve"> Rev</w:t>
            </w:r>
            <w:r w:rsidR="00B663D0" w:rsidRPr="003F341E">
              <w:rPr>
                <w:rFonts w:cs="Arial"/>
                <w:sz w:val="20"/>
                <w:szCs w:val="20"/>
              </w:rPr>
              <w:t>2</w:t>
            </w:r>
            <w:r w:rsidRPr="003F341E">
              <w:rPr>
                <w:rFonts w:cs="Arial"/>
                <w:sz w:val="20"/>
                <w:szCs w:val="20"/>
              </w:rPr>
              <w:t>”:</w:t>
            </w:r>
          </w:p>
          <w:p w14:paraId="051EDF76" w14:textId="77777777" w:rsidR="00843963" w:rsidRPr="003F341E" w:rsidRDefault="00843963" w:rsidP="00843963">
            <w:pPr>
              <w:pStyle w:val="Reminders"/>
              <w:spacing w:before="0" w:after="0"/>
              <w:rPr>
                <w:rFonts w:asciiTheme="minorHAnsi" w:hAnsiTheme="minorHAnsi" w:cstheme="minorHAnsi"/>
                <w:i w:val="0"/>
                <w:color w:val="auto"/>
                <w:sz w:val="20"/>
                <w:szCs w:val="20"/>
              </w:rPr>
            </w:pPr>
          </w:p>
          <w:p w14:paraId="378AB67A" w14:textId="40F6F223" w:rsidR="00843963" w:rsidRPr="003F341E" w:rsidRDefault="00843963" w:rsidP="00843963">
            <w:pPr>
              <w:pStyle w:val="Reminders"/>
              <w:spacing w:before="0" w:after="0"/>
              <w:rPr>
                <w:rFonts w:asciiTheme="minorHAnsi" w:hAnsiTheme="minorHAnsi" w:cstheme="minorHAnsi"/>
                <w:sz w:val="20"/>
                <w:szCs w:val="20"/>
              </w:rPr>
            </w:pPr>
            <w:r w:rsidRPr="003F341E">
              <w:rPr>
                <w:rFonts w:asciiTheme="minorHAnsi" w:hAnsiTheme="minorHAnsi" w:cstheme="minorHAnsi"/>
                <w:i w:val="0"/>
                <w:color w:val="auto"/>
                <w:sz w:val="20"/>
                <w:szCs w:val="20"/>
              </w:rPr>
              <w:t>Laminar Flow Restrictors (LFRs), also known as laminar flow devices, are “add-on” devices that are installed at the outlet of the faucet spout to reduce water consumption. In practice, LFRs differ from aerators in that they produce a transparent stream of water without introducing air into the flow.</w:t>
            </w:r>
            <w:r w:rsidRPr="003F341E">
              <w:rPr>
                <w:rFonts w:cstheme="minorHAnsi"/>
                <w:b/>
                <w:i w:val="0"/>
                <w:sz w:val="20"/>
                <w:szCs w:val="20"/>
              </w:rPr>
              <w:t xml:space="preserve"> </w:t>
            </w:r>
            <w:r w:rsidRPr="003F341E">
              <w:rPr>
                <w:rFonts w:asciiTheme="minorHAnsi" w:hAnsiTheme="minorHAnsi" w:cstheme="minorHAnsi"/>
                <w:i w:val="0"/>
                <w:color w:val="auto"/>
                <w:sz w:val="20"/>
                <w:szCs w:val="20"/>
              </w:rPr>
              <w:t xml:space="preserve">The differences between LFRs and aerators are summarized in Table 1. </w:t>
            </w:r>
          </w:p>
          <w:p w14:paraId="5F874806" w14:textId="77777777" w:rsidR="00843963" w:rsidRPr="003F341E" w:rsidRDefault="00843963" w:rsidP="00843963">
            <w:pPr>
              <w:pStyle w:val="Reminders"/>
              <w:spacing w:before="0" w:after="0"/>
              <w:rPr>
                <w:rFonts w:asciiTheme="minorHAnsi" w:hAnsiTheme="minorHAnsi" w:cstheme="minorHAnsi"/>
                <w:sz w:val="20"/>
                <w:szCs w:val="20"/>
              </w:rPr>
            </w:pPr>
          </w:p>
          <w:p w14:paraId="63E308FC" w14:textId="77777777" w:rsidR="00843963" w:rsidRPr="003F341E" w:rsidRDefault="00843963" w:rsidP="00843963">
            <w:pPr>
              <w:pStyle w:val="Reminders"/>
              <w:spacing w:before="0" w:after="0"/>
              <w:rPr>
                <w:rFonts w:asciiTheme="minorHAnsi" w:hAnsiTheme="minorHAnsi" w:cstheme="minorHAnsi"/>
                <w:i w:val="0"/>
                <w:color w:val="auto"/>
                <w:sz w:val="20"/>
                <w:szCs w:val="20"/>
              </w:rPr>
            </w:pPr>
            <w:r w:rsidRPr="003F341E">
              <w:rPr>
                <w:rFonts w:asciiTheme="minorHAnsi" w:hAnsiTheme="minorHAnsi" w:cstheme="minorHAnsi"/>
                <w:i w:val="0"/>
                <w:color w:val="auto"/>
                <w:sz w:val="20"/>
                <w:szCs w:val="20"/>
              </w:rPr>
              <w:t>LFRs have specific applications in the health care industry. The health care industry for the purpose of this work paper consists of any facility that adheres to the Office of Statewide Health Planning and Development (OSHPD) regulations in the state of California. These include but are not limited to:</w:t>
            </w:r>
          </w:p>
          <w:p w14:paraId="17DCA096" w14:textId="77777777" w:rsidR="00843963" w:rsidRPr="003F341E" w:rsidRDefault="00843963" w:rsidP="00843963">
            <w:pPr>
              <w:pStyle w:val="Reminders"/>
              <w:numPr>
                <w:ilvl w:val="0"/>
                <w:numId w:val="29"/>
              </w:numPr>
              <w:rPr>
                <w:rFonts w:asciiTheme="minorHAnsi" w:hAnsiTheme="minorHAnsi" w:cstheme="minorHAnsi"/>
                <w:i w:val="0"/>
                <w:color w:val="auto"/>
                <w:sz w:val="20"/>
                <w:szCs w:val="20"/>
              </w:rPr>
            </w:pPr>
            <w:r w:rsidRPr="003F341E">
              <w:rPr>
                <w:rFonts w:asciiTheme="minorHAnsi" w:hAnsiTheme="minorHAnsi" w:cstheme="minorHAnsi"/>
                <w:i w:val="0"/>
                <w:color w:val="auto"/>
                <w:sz w:val="20"/>
                <w:szCs w:val="20"/>
              </w:rPr>
              <w:t>Hospitals (large regional or local)</w:t>
            </w:r>
          </w:p>
          <w:p w14:paraId="060969B2" w14:textId="77777777" w:rsidR="00843963" w:rsidRPr="003F341E" w:rsidRDefault="00843963" w:rsidP="00843963">
            <w:pPr>
              <w:pStyle w:val="Reminders"/>
              <w:numPr>
                <w:ilvl w:val="0"/>
                <w:numId w:val="29"/>
              </w:numPr>
              <w:rPr>
                <w:rFonts w:asciiTheme="minorHAnsi" w:hAnsiTheme="minorHAnsi" w:cstheme="minorHAnsi"/>
                <w:i w:val="0"/>
                <w:color w:val="auto"/>
                <w:sz w:val="20"/>
                <w:szCs w:val="20"/>
              </w:rPr>
            </w:pPr>
            <w:r w:rsidRPr="003F341E">
              <w:rPr>
                <w:rFonts w:asciiTheme="minorHAnsi" w:hAnsiTheme="minorHAnsi" w:cstheme="minorHAnsi"/>
                <w:i w:val="0"/>
                <w:color w:val="auto"/>
                <w:sz w:val="20"/>
                <w:szCs w:val="20"/>
              </w:rPr>
              <w:t>Emergency rooms</w:t>
            </w:r>
          </w:p>
          <w:p w14:paraId="322884EB" w14:textId="77777777" w:rsidR="00843963" w:rsidRPr="003F341E" w:rsidRDefault="00843963" w:rsidP="00843963">
            <w:pPr>
              <w:pStyle w:val="Reminders"/>
              <w:numPr>
                <w:ilvl w:val="0"/>
                <w:numId w:val="29"/>
              </w:numPr>
              <w:rPr>
                <w:rFonts w:asciiTheme="minorHAnsi" w:hAnsiTheme="minorHAnsi" w:cstheme="minorHAnsi"/>
                <w:i w:val="0"/>
                <w:color w:val="auto"/>
                <w:sz w:val="20"/>
                <w:szCs w:val="20"/>
              </w:rPr>
            </w:pPr>
            <w:r w:rsidRPr="003F341E">
              <w:rPr>
                <w:rFonts w:asciiTheme="minorHAnsi" w:hAnsiTheme="minorHAnsi" w:cstheme="minorHAnsi"/>
                <w:i w:val="0"/>
                <w:color w:val="auto"/>
                <w:sz w:val="20"/>
                <w:szCs w:val="20"/>
              </w:rPr>
              <w:t>In-patient and outpatient facilities and medical office buildings connected to or free standing from main hospitals</w:t>
            </w:r>
          </w:p>
          <w:p w14:paraId="577FE823" w14:textId="77777777" w:rsidR="00843963" w:rsidRPr="003F341E" w:rsidRDefault="00843963" w:rsidP="00843963">
            <w:pPr>
              <w:pStyle w:val="Reminders"/>
              <w:numPr>
                <w:ilvl w:val="0"/>
                <w:numId w:val="29"/>
              </w:numPr>
              <w:spacing w:before="0" w:after="0"/>
              <w:rPr>
                <w:rFonts w:asciiTheme="minorHAnsi" w:hAnsiTheme="minorHAnsi" w:cstheme="minorHAnsi"/>
                <w:i w:val="0"/>
                <w:color w:val="auto"/>
                <w:sz w:val="20"/>
                <w:szCs w:val="20"/>
              </w:rPr>
            </w:pPr>
            <w:r w:rsidRPr="003F341E">
              <w:rPr>
                <w:rFonts w:asciiTheme="minorHAnsi" w:hAnsiTheme="minorHAnsi" w:cstheme="minorHAnsi"/>
                <w:i w:val="0"/>
                <w:color w:val="auto"/>
                <w:sz w:val="20"/>
                <w:szCs w:val="20"/>
              </w:rPr>
              <w:t>Doctor’s offices (e.g. general practitioners, pediatricians, optometrists, chiropractors, etc.)</w:t>
            </w:r>
          </w:p>
          <w:p w14:paraId="60F96C77" w14:textId="77777777" w:rsidR="00843963" w:rsidRPr="003F341E" w:rsidRDefault="00843963" w:rsidP="00843963">
            <w:pPr>
              <w:pStyle w:val="Reminders"/>
              <w:spacing w:before="0" w:after="0"/>
              <w:ind w:left="720"/>
              <w:rPr>
                <w:rFonts w:asciiTheme="minorHAnsi" w:hAnsiTheme="minorHAnsi" w:cstheme="minorHAnsi"/>
                <w:i w:val="0"/>
                <w:color w:val="auto"/>
                <w:sz w:val="20"/>
                <w:szCs w:val="20"/>
              </w:rPr>
            </w:pPr>
          </w:p>
          <w:p w14:paraId="5BC304B2" w14:textId="1F72CBF3" w:rsidR="00843963" w:rsidRPr="003F341E" w:rsidRDefault="00843963" w:rsidP="00843963">
            <w:pPr>
              <w:pStyle w:val="Reminders"/>
              <w:spacing w:before="0" w:after="0"/>
              <w:rPr>
                <w:rFonts w:asciiTheme="minorHAnsi" w:hAnsiTheme="minorHAnsi" w:cstheme="minorHAnsi"/>
                <w:i w:val="0"/>
                <w:color w:val="auto"/>
                <w:sz w:val="20"/>
                <w:szCs w:val="20"/>
              </w:rPr>
            </w:pPr>
            <w:r w:rsidRPr="003F341E">
              <w:rPr>
                <w:rFonts w:asciiTheme="minorHAnsi" w:hAnsiTheme="minorHAnsi" w:cstheme="minorHAnsi"/>
                <w:i w:val="0"/>
                <w:color w:val="auto"/>
                <w:sz w:val="20"/>
                <w:szCs w:val="20"/>
              </w:rPr>
              <w:t>Currently, OSHPD specifically bans the use of aerators in the health care industry due to the aerator’s flow control methods and components.</w:t>
            </w:r>
            <w:r w:rsidRPr="003F341E">
              <w:rPr>
                <w:rStyle w:val="EndnoteReference"/>
                <w:rFonts w:asciiTheme="minorHAnsi" w:hAnsiTheme="minorHAnsi" w:cstheme="minorHAnsi"/>
                <w:i w:val="0"/>
                <w:color w:val="auto"/>
                <w:sz w:val="20"/>
                <w:szCs w:val="20"/>
              </w:rPr>
              <w:endnoteReference w:id="1"/>
            </w:r>
            <w:r w:rsidRPr="003F341E">
              <w:rPr>
                <w:rFonts w:asciiTheme="minorHAnsi" w:hAnsiTheme="minorHAnsi" w:cstheme="minorHAnsi"/>
                <w:i w:val="0"/>
                <w:color w:val="auto"/>
                <w:sz w:val="20"/>
                <w:szCs w:val="20"/>
              </w:rPr>
              <w:t xml:space="preserve"> The mixing of air and water within the aerator allows airborne bacteria to become waterborne and, in warm stagnant conditions, promote bacterial growth. The increased surface area of aerator components (e.g. screens) allows hard water deposits and biofilm to accumulate within the device which may further harbor increased bacterial growth. </w:t>
            </w:r>
          </w:p>
          <w:p w14:paraId="1206E2FA" w14:textId="42B08AC7" w:rsidR="00843963" w:rsidRPr="003F341E" w:rsidRDefault="00843963" w:rsidP="00843963">
            <w:pPr>
              <w:pStyle w:val="Reminders"/>
              <w:spacing w:before="0" w:after="0"/>
              <w:rPr>
                <w:rFonts w:asciiTheme="minorHAnsi" w:hAnsiTheme="minorHAnsi" w:cstheme="minorHAnsi"/>
                <w:i w:val="0"/>
                <w:color w:val="auto"/>
                <w:sz w:val="20"/>
                <w:szCs w:val="20"/>
              </w:rPr>
            </w:pPr>
          </w:p>
          <w:p w14:paraId="320BD8C3" w14:textId="79989429" w:rsidR="00843963" w:rsidRPr="003F341E" w:rsidRDefault="00843963" w:rsidP="00843963">
            <w:pPr>
              <w:pStyle w:val="Caption"/>
              <w:keepNext/>
              <w:jc w:val="center"/>
              <w:rPr>
                <w:sz w:val="20"/>
                <w:szCs w:val="20"/>
              </w:rPr>
            </w:pPr>
            <w:r w:rsidRPr="003F341E">
              <w:rPr>
                <w:sz w:val="20"/>
                <w:szCs w:val="20"/>
              </w:rPr>
              <w:lastRenderedPageBreak/>
              <w:t>Table 1 : LFR vs. Aerator Comparison Summary</w:t>
            </w:r>
          </w:p>
          <w:p w14:paraId="0B877BEC" w14:textId="77777777" w:rsidR="00843963" w:rsidRPr="003F341E" w:rsidRDefault="00843963" w:rsidP="00843963">
            <w:pPr>
              <w:rPr>
                <w:sz w:val="20"/>
                <w:szCs w:val="20"/>
              </w:rPr>
            </w:pPr>
          </w:p>
          <w:tbl>
            <w:tblPr>
              <w:tblStyle w:val="TableContemporary"/>
              <w:tblW w:w="0" w:type="auto"/>
              <w:jc w:val="center"/>
              <w:tblLook w:val="04A0" w:firstRow="1" w:lastRow="0" w:firstColumn="1" w:lastColumn="0" w:noHBand="0" w:noVBand="1"/>
            </w:tblPr>
            <w:tblGrid>
              <w:gridCol w:w="4294"/>
              <w:gridCol w:w="4234"/>
            </w:tblGrid>
            <w:tr w:rsidR="00843963" w:rsidRPr="003F341E" w14:paraId="5FDB290D" w14:textId="77777777" w:rsidTr="00843963">
              <w:trPr>
                <w:cnfStyle w:val="100000000000" w:firstRow="1" w:lastRow="0" w:firstColumn="0" w:lastColumn="0" w:oddVBand="0" w:evenVBand="0" w:oddHBand="0" w:evenHBand="0" w:firstRowFirstColumn="0" w:firstRowLastColumn="0" w:lastRowFirstColumn="0" w:lastRowLastColumn="0"/>
                <w:trHeight w:val="243"/>
                <w:jc w:val="center"/>
              </w:trPr>
              <w:tc>
                <w:tcPr>
                  <w:tcW w:w="4573" w:type="dxa"/>
                  <w:tcBorders>
                    <w:top w:val="nil"/>
                    <w:left w:val="nil"/>
                    <w:bottom w:val="single" w:sz="18" w:space="0" w:color="FFFFFF"/>
                    <w:right w:val="single" w:sz="18" w:space="0" w:color="FFFFFF"/>
                  </w:tcBorders>
                  <w:hideMark/>
                </w:tcPr>
                <w:p w14:paraId="67A9C05C" w14:textId="77777777" w:rsidR="00843963" w:rsidRPr="003F341E" w:rsidRDefault="00843963" w:rsidP="00843963">
                  <w:pPr>
                    <w:jc w:val="center"/>
                    <w:rPr>
                      <w:rFonts w:asciiTheme="minorHAnsi" w:hAnsiTheme="minorHAnsi" w:cs="Calibri"/>
                      <w:szCs w:val="20"/>
                    </w:rPr>
                  </w:pPr>
                  <w:r w:rsidRPr="003F341E">
                    <w:rPr>
                      <w:rFonts w:asciiTheme="minorHAnsi" w:hAnsiTheme="minorHAnsi" w:cs="Calibri"/>
                      <w:szCs w:val="20"/>
                    </w:rPr>
                    <w:t>LFRs</w:t>
                  </w:r>
                </w:p>
              </w:tc>
              <w:tc>
                <w:tcPr>
                  <w:tcW w:w="4503" w:type="dxa"/>
                  <w:tcBorders>
                    <w:top w:val="nil"/>
                    <w:left w:val="single" w:sz="18" w:space="0" w:color="FFFFFF"/>
                    <w:bottom w:val="single" w:sz="18" w:space="0" w:color="FFFFFF"/>
                    <w:right w:val="single" w:sz="18" w:space="0" w:color="FFFFFF"/>
                  </w:tcBorders>
                  <w:vAlign w:val="center"/>
                  <w:hideMark/>
                </w:tcPr>
                <w:p w14:paraId="76456907" w14:textId="77777777" w:rsidR="00843963" w:rsidRPr="003F341E" w:rsidRDefault="00843963" w:rsidP="00843963">
                  <w:pPr>
                    <w:jc w:val="center"/>
                    <w:rPr>
                      <w:rFonts w:asciiTheme="minorHAnsi" w:hAnsiTheme="minorHAnsi" w:cs="Calibri"/>
                      <w:i/>
                      <w:color w:val="FF0000"/>
                      <w:szCs w:val="20"/>
                    </w:rPr>
                  </w:pPr>
                  <w:r w:rsidRPr="003F341E">
                    <w:rPr>
                      <w:rFonts w:asciiTheme="minorHAnsi" w:hAnsiTheme="minorHAnsi" w:cs="Calibri"/>
                      <w:szCs w:val="20"/>
                    </w:rPr>
                    <w:t>Aerators</w:t>
                  </w:r>
                </w:p>
              </w:tc>
            </w:tr>
            <w:tr w:rsidR="00843963" w:rsidRPr="003F341E" w14:paraId="6A11C5E5" w14:textId="77777777" w:rsidTr="00843963">
              <w:trPr>
                <w:cnfStyle w:val="000000100000" w:firstRow="0" w:lastRow="0" w:firstColumn="0" w:lastColumn="0" w:oddVBand="0" w:evenVBand="0" w:oddHBand="1" w:evenHBand="0" w:firstRowFirstColumn="0" w:firstRowLastColumn="0" w:lastRowFirstColumn="0" w:lastRowLastColumn="0"/>
                <w:trHeight w:val="243"/>
                <w:jc w:val="center"/>
              </w:trPr>
              <w:tc>
                <w:tcPr>
                  <w:tcW w:w="4573" w:type="dxa"/>
                  <w:tcBorders>
                    <w:top w:val="single" w:sz="18" w:space="0" w:color="FFFFFF"/>
                    <w:left w:val="nil"/>
                    <w:bottom w:val="single" w:sz="18" w:space="0" w:color="FFFFFF"/>
                    <w:right w:val="single" w:sz="18" w:space="0" w:color="FFFFFF"/>
                  </w:tcBorders>
                  <w:hideMark/>
                </w:tcPr>
                <w:p w14:paraId="75C2CD22" w14:textId="77777777" w:rsidR="00843963" w:rsidRPr="003F341E" w:rsidRDefault="00843963" w:rsidP="00843963">
                  <w:pPr>
                    <w:pStyle w:val="Reminders"/>
                    <w:numPr>
                      <w:ilvl w:val="0"/>
                      <w:numId w:val="30"/>
                    </w:numPr>
                    <w:rPr>
                      <w:rFonts w:asciiTheme="minorHAnsi" w:hAnsiTheme="minorHAnsi" w:cstheme="minorHAnsi"/>
                      <w:color w:val="auto"/>
                      <w:szCs w:val="20"/>
                    </w:rPr>
                  </w:pPr>
                  <w:r w:rsidRPr="003F341E">
                    <w:rPr>
                      <w:rFonts w:asciiTheme="minorHAnsi" w:hAnsiTheme="minorHAnsi" w:cstheme="minorHAnsi"/>
                      <w:color w:val="auto"/>
                      <w:szCs w:val="20"/>
                    </w:rPr>
                    <w:t>“Laminar” refers to a stream that flows in parallel layers with no disruption between them</w:t>
                  </w:r>
                </w:p>
                <w:p w14:paraId="4D448364" w14:textId="77777777" w:rsidR="00843963" w:rsidRPr="003F341E" w:rsidRDefault="00843963" w:rsidP="00843963">
                  <w:pPr>
                    <w:pStyle w:val="Reminders"/>
                    <w:numPr>
                      <w:ilvl w:val="0"/>
                      <w:numId w:val="30"/>
                    </w:numPr>
                    <w:rPr>
                      <w:rFonts w:asciiTheme="minorHAnsi" w:hAnsiTheme="minorHAnsi" w:cstheme="minorHAnsi"/>
                      <w:color w:val="auto"/>
                      <w:szCs w:val="20"/>
                    </w:rPr>
                  </w:pPr>
                  <w:r w:rsidRPr="003F341E">
                    <w:rPr>
                      <w:rFonts w:asciiTheme="minorHAnsi" w:hAnsiTheme="minorHAnsi" w:cstheme="minorHAnsi"/>
                      <w:color w:val="auto"/>
                      <w:szCs w:val="20"/>
                    </w:rPr>
                    <w:t xml:space="preserve">Approved for health care use because of their hygienic advantage: aerosol generation is reduced to a minimum due to the lack of air intake </w:t>
                  </w:r>
                </w:p>
                <w:p w14:paraId="58717ED9" w14:textId="77777777" w:rsidR="00843963" w:rsidRPr="003F341E" w:rsidRDefault="00843963" w:rsidP="00843963">
                  <w:pPr>
                    <w:pStyle w:val="Reminders"/>
                    <w:numPr>
                      <w:ilvl w:val="0"/>
                      <w:numId w:val="30"/>
                    </w:numPr>
                    <w:rPr>
                      <w:rFonts w:asciiTheme="minorHAnsi" w:hAnsiTheme="minorHAnsi" w:cstheme="minorHAnsi"/>
                      <w:color w:val="auto"/>
                      <w:szCs w:val="20"/>
                    </w:rPr>
                  </w:pPr>
                  <w:r w:rsidRPr="003F341E">
                    <w:rPr>
                      <w:rFonts w:asciiTheme="minorHAnsi" w:hAnsiTheme="minorHAnsi" w:cstheme="minorHAnsi"/>
                      <w:color w:val="auto"/>
                      <w:szCs w:val="20"/>
                    </w:rPr>
                    <w:t>Water restriction is achieved by using small nozzles (straightening vanes) that are shaped to keep turbulence from forming, preventing air from entering the flow</w:t>
                  </w:r>
                </w:p>
                <w:p w14:paraId="151C3DC6" w14:textId="77777777" w:rsidR="00843963" w:rsidRPr="003F341E" w:rsidRDefault="00843963" w:rsidP="00843963">
                  <w:pPr>
                    <w:pStyle w:val="Reminders"/>
                    <w:numPr>
                      <w:ilvl w:val="0"/>
                      <w:numId w:val="30"/>
                    </w:numPr>
                    <w:rPr>
                      <w:rFonts w:asciiTheme="minorHAnsi" w:hAnsiTheme="minorHAnsi" w:cstheme="minorHAnsi"/>
                      <w:color w:val="auto"/>
                      <w:szCs w:val="20"/>
                    </w:rPr>
                  </w:pPr>
                  <w:r w:rsidRPr="003F341E">
                    <w:rPr>
                      <w:rFonts w:asciiTheme="minorHAnsi" w:hAnsiTheme="minorHAnsi" w:cstheme="minorHAnsi"/>
                      <w:color w:val="auto"/>
                      <w:szCs w:val="20"/>
                    </w:rPr>
                    <w:t>Flow is clear and transparent</w:t>
                  </w:r>
                </w:p>
              </w:tc>
              <w:tc>
                <w:tcPr>
                  <w:tcW w:w="4503" w:type="dxa"/>
                  <w:tcBorders>
                    <w:top w:val="single" w:sz="18" w:space="0" w:color="FFFFFF"/>
                    <w:left w:val="single" w:sz="18" w:space="0" w:color="FFFFFF"/>
                    <w:bottom w:val="single" w:sz="18" w:space="0" w:color="FFFFFF"/>
                    <w:right w:val="single" w:sz="18" w:space="0" w:color="FFFFFF"/>
                  </w:tcBorders>
                  <w:hideMark/>
                </w:tcPr>
                <w:p w14:paraId="777AA0D4" w14:textId="77777777" w:rsidR="00843963" w:rsidRPr="003F341E" w:rsidRDefault="00843963" w:rsidP="00843963">
                  <w:pPr>
                    <w:pStyle w:val="Reminders"/>
                    <w:numPr>
                      <w:ilvl w:val="0"/>
                      <w:numId w:val="30"/>
                    </w:numPr>
                    <w:rPr>
                      <w:rFonts w:asciiTheme="minorHAnsi" w:hAnsiTheme="minorHAnsi" w:cstheme="minorHAnsi"/>
                      <w:color w:val="auto"/>
                      <w:szCs w:val="20"/>
                    </w:rPr>
                  </w:pPr>
                  <w:r w:rsidRPr="003F341E">
                    <w:rPr>
                      <w:rFonts w:asciiTheme="minorHAnsi" w:hAnsiTheme="minorHAnsi" w:cstheme="minorHAnsi"/>
                      <w:color w:val="auto"/>
                      <w:szCs w:val="20"/>
                    </w:rPr>
                    <w:t>Use the Venturi effect to introduce air into the water stream</w:t>
                  </w:r>
                </w:p>
                <w:p w14:paraId="3678E54B" w14:textId="77777777" w:rsidR="00843963" w:rsidRPr="003F341E" w:rsidRDefault="00843963" w:rsidP="00843963">
                  <w:pPr>
                    <w:pStyle w:val="Reminders"/>
                    <w:numPr>
                      <w:ilvl w:val="0"/>
                      <w:numId w:val="30"/>
                    </w:numPr>
                    <w:rPr>
                      <w:rFonts w:asciiTheme="minorHAnsi" w:hAnsiTheme="minorHAnsi" w:cstheme="minorHAnsi"/>
                      <w:color w:val="auto"/>
                      <w:szCs w:val="20"/>
                    </w:rPr>
                  </w:pPr>
                  <w:r w:rsidRPr="003F341E">
                    <w:rPr>
                      <w:rFonts w:asciiTheme="minorHAnsi" w:hAnsiTheme="minorHAnsi" w:cstheme="minorHAnsi"/>
                      <w:color w:val="auto"/>
                      <w:szCs w:val="20"/>
                    </w:rPr>
                    <w:t>Banned in health care environments, but commonly used in residential and other commercial applications</w:t>
                  </w:r>
                </w:p>
                <w:p w14:paraId="570146E3" w14:textId="77777777" w:rsidR="00843963" w:rsidRPr="003F341E" w:rsidRDefault="00843963" w:rsidP="00843963">
                  <w:pPr>
                    <w:pStyle w:val="Reminders"/>
                    <w:numPr>
                      <w:ilvl w:val="0"/>
                      <w:numId w:val="30"/>
                    </w:numPr>
                    <w:rPr>
                      <w:rFonts w:asciiTheme="minorHAnsi" w:hAnsiTheme="minorHAnsi" w:cstheme="minorHAnsi"/>
                      <w:color w:val="auto"/>
                      <w:szCs w:val="20"/>
                    </w:rPr>
                  </w:pPr>
                  <w:r w:rsidRPr="003F341E">
                    <w:rPr>
                      <w:rFonts w:asciiTheme="minorHAnsi" w:hAnsiTheme="minorHAnsi" w:cstheme="minorHAnsi"/>
                      <w:color w:val="auto"/>
                      <w:szCs w:val="20"/>
                    </w:rPr>
                    <w:t xml:space="preserve">Restrict water by using screens to introduce air bubbles into the water stream which may allow airborne bacteria to become waterborne </w:t>
                  </w:r>
                </w:p>
                <w:p w14:paraId="670947BB" w14:textId="77777777" w:rsidR="00843963" w:rsidRPr="003F341E" w:rsidRDefault="00843963" w:rsidP="00843963">
                  <w:pPr>
                    <w:pStyle w:val="Reminders"/>
                    <w:numPr>
                      <w:ilvl w:val="0"/>
                      <w:numId w:val="30"/>
                    </w:numPr>
                    <w:rPr>
                      <w:rFonts w:asciiTheme="minorHAnsi" w:hAnsiTheme="minorHAnsi" w:cstheme="minorHAnsi"/>
                      <w:i w:val="0"/>
                      <w:color w:val="auto"/>
                      <w:szCs w:val="20"/>
                    </w:rPr>
                  </w:pPr>
                  <w:r w:rsidRPr="003F341E">
                    <w:rPr>
                      <w:rFonts w:asciiTheme="minorHAnsi" w:hAnsiTheme="minorHAnsi" w:cstheme="minorHAnsi"/>
                      <w:color w:val="auto"/>
                      <w:szCs w:val="20"/>
                    </w:rPr>
                    <w:t>Flow has a white opacity and a soft feel</w:t>
                  </w:r>
                </w:p>
              </w:tc>
            </w:tr>
          </w:tbl>
          <w:p w14:paraId="09C8BACE" w14:textId="77777777" w:rsidR="00843963" w:rsidRPr="003F341E" w:rsidRDefault="00843963" w:rsidP="00843963">
            <w:pPr>
              <w:pStyle w:val="Reminders"/>
              <w:spacing w:before="0" w:after="0"/>
              <w:rPr>
                <w:rFonts w:asciiTheme="minorHAnsi" w:hAnsiTheme="minorHAnsi" w:cstheme="minorHAnsi"/>
                <w:i w:val="0"/>
                <w:color w:val="auto"/>
                <w:sz w:val="20"/>
                <w:szCs w:val="20"/>
              </w:rPr>
            </w:pPr>
          </w:p>
          <w:p w14:paraId="3DC2FD97" w14:textId="3BF1DC2B" w:rsidR="00CB11C9" w:rsidRPr="003F341E" w:rsidRDefault="00CB11C9" w:rsidP="0046316A">
            <w:pPr>
              <w:rPr>
                <w:rFonts w:cs="Arial"/>
                <w:sz w:val="20"/>
                <w:szCs w:val="20"/>
              </w:rPr>
            </w:pPr>
          </w:p>
        </w:tc>
      </w:tr>
      <w:tr w:rsidR="00CB11C9" w14:paraId="11CCD6A4" w14:textId="77777777" w:rsidTr="008E0122">
        <w:tc>
          <w:tcPr>
            <w:tcW w:w="2303" w:type="dxa"/>
            <w:vAlign w:val="center"/>
          </w:tcPr>
          <w:p w14:paraId="6A63CAB9" w14:textId="1BD22C63" w:rsidR="0046316A" w:rsidRPr="007D04D7" w:rsidRDefault="00CB11C9" w:rsidP="00F67972">
            <w:pPr>
              <w:jc w:val="right"/>
              <w:rPr>
                <w:rFonts w:cs="Arial"/>
                <w:szCs w:val="22"/>
              </w:rPr>
            </w:pPr>
            <w:r w:rsidRPr="007D04D7">
              <w:rPr>
                <w:rFonts w:cs="Arial"/>
                <w:szCs w:val="22"/>
              </w:rPr>
              <w:lastRenderedPageBreak/>
              <w:t xml:space="preserve">Code </w:t>
            </w:r>
            <w:r w:rsidR="00F67972" w:rsidRPr="007D04D7">
              <w:rPr>
                <w:rFonts w:cs="Arial"/>
                <w:szCs w:val="22"/>
              </w:rPr>
              <w:t>for Measures</w:t>
            </w:r>
          </w:p>
          <w:p w14:paraId="68FD99F8" w14:textId="441B1CCE" w:rsidR="008E0122" w:rsidRPr="007D04D7" w:rsidRDefault="008E0122" w:rsidP="00F67972">
            <w:pPr>
              <w:jc w:val="right"/>
              <w:rPr>
                <w:rFonts w:cs="Arial"/>
                <w:szCs w:val="22"/>
              </w:rPr>
            </w:pPr>
            <w:r w:rsidRPr="007D04D7">
              <w:rPr>
                <w:rFonts w:cs="Arial"/>
                <w:szCs w:val="22"/>
              </w:rPr>
              <w:t>(as cited per WPSCGNRWH1</w:t>
            </w:r>
            <w:r w:rsidR="00197CFA">
              <w:rPr>
                <w:rFonts w:cs="Arial"/>
                <w:szCs w:val="22"/>
              </w:rPr>
              <w:t>50827A</w:t>
            </w:r>
            <w:r w:rsidRPr="007D04D7">
              <w:rPr>
                <w:rFonts w:cs="Arial"/>
                <w:szCs w:val="22"/>
              </w:rPr>
              <w:t xml:space="preserve"> Rev</w:t>
            </w:r>
            <w:r w:rsidR="00197CFA">
              <w:rPr>
                <w:rFonts w:cs="Arial"/>
                <w:szCs w:val="22"/>
              </w:rPr>
              <w:t>2</w:t>
            </w:r>
            <w:r w:rsidRPr="007D04D7">
              <w:rPr>
                <w:rFonts w:cs="Arial"/>
                <w:szCs w:val="22"/>
              </w:rPr>
              <w:t>)</w:t>
            </w:r>
          </w:p>
          <w:p w14:paraId="376F7E81" w14:textId="540B75C1" w:rsidR="00CB11C9" w:rsidRPr="007D04D7" w:rsidRDefault="00CB11C9" w:rsidP="00F67972">
            <w:pPr>
              <w:jc w:val="right"/>
              <w:rPr>
                <w:rFonts w:cs="Arial"/>
                <w:szCs w:val="22"/>
              </w:rPr>
            </w:pPr>
          </w:p>
        </w:tc>
        <w:tc>
          <w:tcPr>
            <w:tcW w:w="8767" w:type="dxa"/>
          </w:tcPr>
          <w:p w14:paraId="630D3B31" w14:textId="77777777" w:rsidR="005F6886" w:rsidRPr="003F341E" w:rsidRDefault="008E0122" w:rsidP="008E0122">
            <w:pPr>
              <w:rPr>
                <w:sz w:val="20"/>
                <w:szCs w:val="20"/>
              </w:rPr>
            </w:pPr>
            <w:r w:rsidRPr="003F341E">
              <w:rPr>
                <w:sz w:val="20"/>
                <w:szCs w:val="20"/>
              </w:rPr>
              <w:t>Applicable codes for this measure are stipulated in Title 20 of the California Code of Regulations Table H-</w:t>
            </w:r>
            <w:r w:rsidR="005F6886" w:rsidRPr="003F341E">
              <w:rPr>
                <w:sz w:val="20"/>
                <w:szCs w:val="20"/>
              </w:rPr>
              <w:t>1</w:t>
            </w:r>
            <w:r w:rsidRPr="003F341E">
              <w:rPr>
                <w:sz w:val="20"/>
                <w:szCs w:val="20"/>
              </w:rPr>
              <w:t xml:space="preserve"> and H-4 in </w:t>
            </w:r>
            <w:r w:rsidRPr="003F341E">
              <w:rPr>
                <w:b/>
                <w:i/>
                <w:sz w:val="20"/>
                <w:szCs w:val="20"/>
              </w:rPr>
              <w:fldChar w:fldCharType="begin"/>
            </w:r>
            <w:r w:rsidRPr="003F341E">
              <w:rPr>
                <w:b/>
                <w:i/>
                <w:sz w:val="20"/>
                <w:szCs w:val="20"/>
              </w:rPr>
              <w:instrText xml:space="preserve"> REF _Ref478049343 \h  \* MERGEFORMAT </w:instrText>
            </w:r>
            <w:r w:rsidRPr="003F341E">
              <w:rPr>
                <w:b/>
                <w:i/>
                <w:sz w:val="20"/>
                <w:szCs w:val="20"/>
              </w:rPr>
            </w:r>
            <w:r w:rsidRPr="003F341E">
              <w:rPr>
                <w:b/>
                <w:i/>
                <w:sz w:val="20"/>
                <w:szCs w:val="20"/>
              </w:rPr>
              <w:fldChar w:fldCharType="separate"/>
            </w:r>
            <w:r w:rsidRPr="003F341E">
              <w:rPr>
                <w:b/>
                <w:i/>
                <w:sz w:val="20"/>
                <w:szCs w:val="20"/>
              </w:rPr>
              <w:t xml:space="preserve">Figure </w:t>
            </w:r>
            <w:r w:rsidRPr="003F341E">
              <w:rPr>
                <w:b/>
                <w:i/>
                <w:noProof/>
                <w:sz w:val="20"/>
                <w:szCs w:val="20"/>
              </w:rPr>
              <w:t>1</w:t>
            </w:r>
            <w:r w:rsidRPr="003F341E">
              <w:rPr>
                <w:b/>
                <w:i/>
                <w:sz w:val="20"/>
                <w:szCs w:val="20"/>
              </w:rPr>
              <w:fldChar w:fldCharType="end"/>
            </w:r>
            <w:r w:rsidRPr="003F341E">
              <w:rPr>
                <w:sz w:val="20"/>
                <w:szCs w:val="20"/>
              </w:rPr>
              <w:t xml:space="preserve">. </w:t>
            </w:r>
          </w:p>
          <w:p w14:paraId="3A048C6E" w14:textId="77777777" w:rsidR="005F6886" w:rsidRPr="003F341E" w:rsidRDefault="005F6886" w:rsidP="008E0122">
            <w:pPr>
              <w:rPr>
                <w:rFonts w:cs="Arial"/>
                <w:sz w:val="20"/>
                <w:szCs w:val="20"/>
              </w:rPr>
            </w:pPr>
            <w:r w:rsidRPr="003F341E">
              <w:rPr>
                <w:noProof/>
                <w:sz w:val="20"/>
                <w:szCs w:val="20"/>
              </w:rPr>
              <w:drawing>
                <wp:inline distT="0" distB="0" distL="0" distR="0" wp14:anchorId="2ECBFF74" wp14:editId="6313E379">
                  <wp:extent cx="4248150" cy="2809875"/>
                  <wp:effectExtent l="0" t="0" r="0" b="9525"/>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tretch>
                            <a:fillRect/>
                          </a:stretch>
                        </pic:blipFill>
                        <pic:spPr>
                          <a:xfrm>
                            <a:off x="0" y="0"/>
                            <a:ext cx="4248150" cy="2809875"/>
                          </a:xfrm>
                          <a:prstGeom prst="rect">
                            <a:avLst/>
                          </a:prstGeom>
                        </pic:spPr>
                      </pic:pic>
                    </a:graphicData>
                  </a:graphic>
                </wp:inline>
              </w:drawing>
            </w:r>
          </w:p>
          <w:p w14:paraId="09171C1A" w14:textId="45EDF1C5" w:rsidR="005F6886" w:rsidRPr="003F341E" w:rsidRDefault="005F6886" w:rsidP="005F6886">
            <w:pPr>
              <w:pStyle w:val="Reminders"/>
              <w:spacing w:before="0" w:after="0"/>
              <w:rPr>
                <w:rFonts w:asciiTheme="minorHAnsi" w:hAnsiTheme="minorHAnsi" w:cstheme="minorHAnsi"/>
                <w:i w:val="0"/>
                <w:color w:val="auto"/>
                <w:sz w:val="20"/>
                <w:szCs w:val="20"/>
              </w:rPr>
            </w:pPr>
            <w:r w:rsidRPr="003F341E">
              <w:rPr>
                <w:rFonts w:asciiTheme="minorHAnsi" w:hAnsiTheme="minorHAnsi" w:cstheme="minorHAnsi"/>
                <w:i w:val="0"/>
                <w:color w:val="auto"/>
                <w:sz w:val="20"/>
                <w:szCs w:val="20"/>
              </w:rPr>
              <w:t xml:space="preserve">Title 20 code is not considered an appropriate baseline flow rate due to strong evidence of a higher pre-existing/in situ flow rate as defined in </w:t>
            </w:r>
            <w:r w:rsidRPr="003F341E">
              <w:rPr>
                <w:rFonts w:asciiTheme="minorHAnsi" w:hAnsiTheme="minorHAnsi" w:cstheme="minorHAnsi"/>
                <w:b/>
                <w:color w:val="auto"/>
                <w:sz w:val="20"/>
                <w:szCs w:val="20"/>
              </w:rPr>
              <w:t xml:space="preserve">Section </w:t>
            </w:r>
            <w:r w:rsidRPr="003F341E">
              <w:rPr>
                <w:rFonts w:asciiTheme="minorHAnsi" w:hAnsiTheme="minorHAnsi" w:cstheme="minorHAnsi"/>
                <w:b/>
                <w:color w:val="auto"/>
                <w:sz w:val="20"/>
                <w:szCs w:val="20"/>
              </w:rPr>
              <w:fldChar w:fldCharType="begin"/>
            </w:r>
            <w:r w:rsidRPr="003F341E">
              <w:rPr>
                <w:rFonts w:asciiTheme="minorHAnsi" w:hAnsiTheme="minorHAnsi" w:cstheme="minorHAnsi"/>
                <w:b/>
                <w:color w:val="auto"/>
                <w:sz w:val="20"/>
                <w:szCs w:val="20"/>
              </w:rPr>
              <w:instrText xml:space="preserve"> REF Section1_5_1 \h  \* MERGEFORMAT </w:instrText>
            </w:r>
            <w:r w:rsidRPr="003F341E">
              <w:rPr>
                <w:rFonts w:asciiTheme="minorHAnsi" w:hAnsiTheme="minorHAnsi" w:cstheme="minorHAnsi"/>
                <w:b/>
                <w:color w:val="auto"/>
                <w:sz w:val="20"/>
                <w:szCs w:val="20"/>
              </w:rPr>
            </w:r>
            <w:r w:rsidRPr="003F341E">
              <w:rPr>
                <w:rFonts w:asciiTheme="minorHAnsi" w:hAnsiTheme="minorHAnsi" w:cstheme="minorHAnsi"/>
                <w:b/>
                <w:color w:val="auto"/>
                <w:sz w:val="20"/>
                <w:szCs w:val="20"/>
              </w:rPr>
              <w:fldChar w:fldCharType="separate"/>
            </w:r>
            <w:r w:rsidRPr="003F341E">
              <w:rPr>
                <w:rFonts w:asciiTheme="minorHAnsi" w:hAnsiTheme="minorHAnsi"/>
                <w:b/>
                <w:color w:val="auto"/>
                <w:sz w:val="20"/>
                <w:szCs w:val="20"/>
              </w:rPr>
              <w:t>1.5.1</w:t>
            </w:r>
            <w:r w:rsidRPr="003F341E">
              <w:rPr>
                <w:rFonts w:asciiTheme="minorHAnsi" w:hAnsiTheme="minorHAnsi" w:cstheme="minorHAnsi"/>
                <w:b/>
                <w:color w:val="auto"/>
                <w:sz w:val="20"/>
                <w:szCs w:val="20"/>
              </w:rPr>
              <w:fldChar w:fldCharType="end"/>
            </w:r>
            <w:r w:rsidRPr="003F341E">
              <w:rPr>
                <w:rFonts w:asciiTheme="minorHAnsi" w:hAnsiTheme="minorHAnsi" w:cstheme="minorHAnsi"/>
                <w:b/>
                <w:color w:val="auto"/>
                <w:sz w:val="20"/>
                <w:szCs w:val="20"/>
              </w:rPr>
              <w:t xml:space="preserve">. </w:t>
            </w:r>
            <w:r w:rsidRPr="003F341E">
              <w:rPr>
                <w:rFonts w:asciiTheme="minorHAnsi" w:hAnsiTheme="minorHAnsi" w:cstheme="minorHAnsi"/>
                <w:i w:val="0"/>
                <w:color w:val="auto"/>
                <w:sz w:val="20"/>
                <w:szCs w:val="20"/>
              </w:rPr>
              <w:t xml:space="preserve"> </w:t>
            </w:r>
          </w:p>
          <w:p w14:paraId="5460F300" w14:textId="51A729E2" w:rsidR="005F6886" w:rsidRPr="003F341E" w:rsidRDefault="005F6886" w:rsidP="005F6886">
            <w:pPr>
              <w:pStyle w:val="Reminders"/>
              <w:spacing w:before="0" w:after="0"/>
              <w:rPr>
                <w:rFonts w:asciiTheme="minorHAnsi" w:hAnsiTheme="minorHAnsi" w:cstheme="minorHAnsi"/>
                <w:i w:val="0"/>
                <w:sz w:val="20"/>
                <w:szCs w:val="20"/>
              </w:rPr>
            </w:pPr>
          </w:p>
          <w:p w14:paraId="14FEB452" w14:textId="76E386AA" w:rsidR="005F6886" w:rsidRPr="003F341E" w:rsidRDefault="005F6886" w:rsidP="005F6886">
            <w:pPr>
              <w:pStyle w:val="Reminders"/>
              <w:spacing w:before="0" w:after="0"/>
              <w:rPr>
                <w:rFonts w:asciiTheme="minorHAnsi" w:hAnsiTheme="minorHAnsi" w:cstheme="minorHAnsi"/>
                <w:i w:val="0"/>
                <w:sz w:val="20"/>
                <w:szCs w:val="20"/>
              </w:rPr>
            </w:pPr>
          </w:p>
          <w:p w14:paraId="11B213BC" w14:textId="77777777" w:rsidR="005F6886" w:rsidRPr="003F341E" w:rsidRDefault="005F6886" w:rsidP="005F6886">
            <w:pPr>
              <w:pStyle w:val="Reminders"/>
              <w:spacing w:before="0" w:after="0"/>
              <w:rPr>
                <w:rFonts w:asciiTheme="minorHAnsi" w:hAnsiTheme="minorHAnsi" w:cstheme="minorHAnsi"/>
                <w:i w:val="0"/>
                <w:sz w:val="20"/>
                <w:szCs w:val="20"/>
              </w:rPr>
            </w:pPr>
          </w:p>
          <w:p w14:paraId="63C09AF7" w14:textId="77777777" w:rsidR="005F6886" w:rsidRPr="003F341E" w:rsidRDefault="005F6886" w:rsidP="005F6886">
            <w:pPr>
              <w:pStyle w:val="Reminders"/>
              <w:rPr>
                <w:rFonts w:asciiTheme="minorHAnsi" w:hAnsiTheme="minorHAnsi" w:cstheme="minorHAnsi"/>
                <w:i w:val="0"/>
                <w:color w:val="auto"/>
                <w:sz w:val="20"/>
                <w:szCs w:val="20"/>
              </w:rPr>
            </w:pPr>
            <w:r w:rsidRPr="003F341E">
              <w:rPr>
                <w:rFonts w:asciiTheme="minorHAnsi" w:hAnsiTheme="minorHAnsi" w:cstheme="minorHAnsi"/>
                <w:b/>
                <w:i w:val="0"/>
                <w:color w:val="auto"/>
                <w:sz w:val="20"/>
                <w:szCs w:val="20"/>
              </w:rPr>
              <w:t>Overview</w:t>
            </w:r>
          </w:p>
          <w:p w14:paraId="4B54DDC6" w14:textId="1DFFE3CD" w:rsidR="00F67972" w:rsidRPr="003F341E" w:rsidRDefault="005F6886" w:rsidP="008E0122">
            <w:pPr>
              <w:rPr>
                <w:rFonts w:cs="Arial"/>
                <w:sz w:val="20"/>
                <w:szCs w:val="20"/>
              </w:rPr>
            </w:pPr>
            <w:r w:rsidRPr="003F341E">
              <w:rPr>
                <w:rFonts w:cs="Arial"/>
                <w:sz w:val="20"/>
                <w:szCs w:val="20"/>
              </w:rPr>
              <w:t xml:space="preserve">The preexisting flow rate of health care faucets has been deemed to be 2.7 GPM from a study completed by Water Saver Solutions. The raw shared survey results are shown in </w:t>
            </w:r>
            <w:r w:rsidRPr="003F341E">
              <w:rPr>
                <w:rFonts w:cs="Arial"/>
                <w:b/>
                <w:i/>
                <w:sz w:val="20"/>
                <w:szCs w:val="20"/>
              </w:rPr>
              <w:fldChar w:fldCharType="begin"/>
            </w:r>
            <w:r w:rsidRPr="003F341E">
              <w:rPr>
                <w:rFonts w:cs="Arial"/>
                <w:b/>
                <w:i/>
                <w:sz w:val="20"/>
                <w:szCs w:val="20"/>
              </w:rPr>
              <w:instrText xml:space="preserve"> REF AttachmentC \h  \* MERGEFORMAT </w:instrText>
            </w:r>
            <w:r w:rsidRPr="003F341E">
              <w:rPr>
                <w:rFonts w:cs="Arial"/>
                <w:b/>
                <w:i/>
                <w:sz w:val="20"/>
                <w:szCs w:val="20"/>
              </w:rPr>
            </w:r>
            <w:r w:rsidRPr="003F341E">
              <w:rPr>
                <w:rFonts w:cs="Arial"/>
                <w:b/>
                <w:i/>
                <w:sz w:val="20"/>
                <w:szCs w:val="20"/>
              </w:rPr>
              <w:fldChar w:fldCharType="separate"/>
            </w:r>
            <w:r w:rsidRPr="003F341E">
              <w:rPr>
                <w:rFonts w:cstheme="minorHAnsi"/>
                <w:b/>
                <w:i/>
                <w:sz w:val="20"/>
                <w:szCs w:val="20"/>
              </w:rPr>
              <w:t>Attachment C</w:t>
            </w:r>
            <w:r w:rsidRPr="003F341E">
              <w:rPr>
                <w:rFonts w:cs="Arial"/>
                <w:b/>
                <w:i/>
                <w:sz w:val="20"/>
                <w:szCs w:val="20"/>
              </w:rPr>
              <w:fldChar w:fldCharType="end"/>
            </w:r>
            <w:r w:rsidRPr="003F341E">
              <w:rPr>
                <w:rFonts w:cs="Arial"/>
                <w:sz w:val="20"/>
                <w:szCs w:val="20"/>
              </w:rPr>
              <w:t xml:space="preserve">. Water Saver Solutions chose 20 hospitals, 1 medical office building and 1 nursing home in SCG territory to make up the shared survey. The shared results can be considered a snap shot of the health care industry in SCG </w:t>
            </w:r>
            <w:r w:rsidRPr="003F341E">
              <w:rPr>
                <w:rFonts w:cs="Arial"/>
                <w:sz w:val="20"/>
                <w:szCs w:val="20"/>
              </w:rPr>
              <w:lastRenderedPageBreak/>
              <w:t>territory. The study results include health care facility locations, faucet counts and types, and the measured flow rates.</w:t>
            </w:r>
          </w:p>
        </w:tc>
      </w:tr>
      <w:tr w:rsidR="00CB11C9" w14:paraId="7BB7F14B" w14:textId="77777777" w:rsidTr="008E0122">
        <w:tc>
          <w:tcPr>
            <w:tcW w:w="2303" w:type="dxa"/>
          </w:tcPr>
          <w:p w14:paraId="49BE6A1A" w14:textId="77777777" w:rsidR="00CB11C9" w:rsidRPr="001D77F7" w:rsidRDefault="00CB11C9" w:rsidP="005B2619">
            <w:pPr>
              <w:rPr>
                <w:b/>
              </w:rPr>
            </w:pPr>
            <w:r w:rsidRPr="001D77F7">
              <w:rPr>
                <w:b/>
              </w:rPr>
              <w:lastRenderedPageBreak/>
              <w:t>1.3 Installation Type and Delivery Mechanisms</w:t>
            </w:r>
          </w:p>
        </w:tc>
        <w:tc>
          <w:tcPr>
            <w:tcW w:w="8767" w:type="dxa"/>
          </w:tcPr>
          <w:p w14:paraId="28F936CC" w14:textId="77777777" w:rsidR="00CB11C9" w:rsidRPr="00D86243" w:rsidRDefault="00CB11C9" w:rsidP="005B2619">
            <w:pPr>
              <w:rPr>
                <w:rFonts w:cs="Arial"/>
                <w:sz w:val="20"/>
                <w:szCs w:val="20"/>
              </w:rPr>
            </w:pPr>
          </w:p>
        </w:tc>
      </w:tr>
      <w:tr w:rsidR="00CB11C9" w14:paraId="1706D494" w14:textId="77777777" w:rsidTr="008E0122">
        <w:tc>
          <w:tcPr>
            <w:tcW w:w="2303" w:type="dxa"/>
            <w:vAlign w:val="center"/>
          </w:tcPr>
          <w:p w14:paraId="5AB0CB7F" w14:textId="77777777" w:rsidR="00CB11C9" w:rsidRPr="007D04D7" w:rsidRDefault="00CB11C9" w:rsidP="005B2619">
            <w:pPr>
              <w:jc w:val="right"/>
              <w:rPr>
                <w:szCs w:val="22"/>
              </w:rPr>
            </w:pPr>
            <w:r w:rsidRPr="007D04D7">
              <w:rPr>
                <w:szCs w:val="22"/>
              </w:rPr>
              <w:t>Installation Type</w:t>
            </w:r>
          </w:p>
        </w:tc>
        <w:tc>
          <w:tcPr>
            <w:tcW w:w="8767" w:type="dxa"/>
          </w:tcPr>
          <w:p w14:paraId="07B4A62F" w14:textId="210CFBDB" w:rsidR="0046316A" w:rsidRDefault="0046316A" w:rsidP="001259FE">
            <w:pPr>
              <w:rPr>
                <w:rFonts w:cs="Arial"/>
                <w:sz w:val="20"/>
                <w:szCs w:val="20"/>
              </w:rPr>
            </w:pPr>
          </w:p>
          <w:p w14:paraId="40E1B643" w14:textId="03F8FC72" w:rsidR="0046316A" w:rsidRPr="003F341E" w:rsidRDefault="0046316A" w:rsidP="0046316A">
            <w:pPr>
              <w:pStyle w:val="Caption"/>
              <w:keepNext/>
              <w:jc w:val="center"/>
              <w:rPr>
                <w:sz w:val="20"/>
                <w:szCs w:val="20"/>
              </w:rPr>
            </w:pPr>
            <w:r w:rsidRPr="003F341E">
              <w:rPr>
                <w:sz w:val="20"/>
                <w:szCs w:val="20"/>
              </w:rPr>
              <w:t>Installation Type Descriptions</w:t>
            </w:r>
          </w:p>
          <w:tbl>
            <w:tblPr>
              <w:tblStyle w:val="TableGrid1"/>
              <w:tblW w:w="5000" w:type="pct"/>
              <w:tblLook w:val="04A0" w:firstRow="1" w:lastRow="0" w:firstColumn="1" w:lastColumn="0" w:noHBand="0" w:noVBand="1"/>
            </w:tblPr>
            <w:tblGrid>
              <w:gridCol w:w="1476"/>
              <w:gridCol w:w="2055"/>
              <w:gridCol w:w="1563"/>
              <w:gridCol w:w="1645"/>
              <w:gridCol w:w="1802"/>
            </w:tblGrid>
            <w:tr w:rsidR="0046316A" w:rsidRPr="003F341E" w14:paraId="3A335148" w14:textId="77777777" w:rsidTr="00843963">
              <w:trPr>
                <w:trHeight w:val="20"/>
              </w:trPr>
              <w:tc>
                <w:tcPr>
                  <w:tcW w:w="864" w:type="pct"/>
                  <w:vMerge w:val="restart"/>
                  <w:shd w:val="clear" w:color="auto" w:fill="D9D9D9" w:themeFill="background1" w:themeFillShade="D9"/>
                </w:tcPr>
                <w:p w14:paraId="2E1A11FD" w14:textId="77777777" w:rsidR="0046316A" w:rsidRPr="003F341E" w:rsidRDefault="0046316A" w:rsidP="0046316A">
                  <w:pPr>
                    <w:rPr>
                      <w:b/>
                      <w:szCs w:val="20"/>
                    </w:rPr>
                  </w:pPr>
                  <w:r w:rsidRPr="003F341E">
                    <w:rPr>
                      <w:b/>
                      <w:szCs w:val="20"/>
                    </w:rPr>
                    <w:t>Installation Type</w:t>
                  </w:r>
                </w:p>
              </w:tc>
              <w:tc>
                <w:tcPr>
                  <w:tcW w:w="2118" w:type="pct"/>
                  <w:gridSpan w:val="2"/>
                  <w:shd w:val="clear" w:color="auto" w:fill="D9D9D9" w:themeFill="background1" w:themeFillShade="D9"/>
                </w:tcPr>
                <w:p w14:paraId="3930F519" w14:textId="77777777" w:rsidR="0046316A" w:rsidRPr="003F341E" w:rsidRDefault="0046316A" w:rsidP="0046316A">
                  <w:pPr>
                    <w:rPr>
                      <w:b/>
                      <w:szCs w:val="20"/>
                    </w:rPr>
                  </w:pPr>
                  <w:r w:rsidRPr="003F341E">
                    <w:rPr>
                      <w:b/>
                      <w:szCs w:val="20"/>
                    </w:rPr>
                    <w:t>Savings</w:t>
                  </w:r>
                </w:p>
              </w:tc>
              <w:tc>
                <w:tcPr>
                  <w:tcW w:w="2019" w:type="pct"/>
                  <w:gridSpan w:val="2"/>
                  <w:shd w:val="clear" w:color="auto" w:fill="D9D9D9" w:themeFill="background1" w:themeFillShade="D9"/>
                </w:tcPr>
                <w:p w14:paraId="26377FEC" w14:textId="77777777" w:rsidR="0046316A" w:rsidRPr="003F341E" w:rsidRDefault="0046316A" w:rsidP="0046316A">
                  <w:pPr>
                    <w:rPr>
                      <w:b/>
                      <w:szCs w:val="20"/>
                    </w:rPr>
                  </w:pPr>
                  <w:r w:rsidRPr="003F341E">
                    <w:rPr>
                      <w:b/>
                      <w:szCs w:val="20"/>
                    </w:rPr>
                    <w:t>Life</w:t>
                  </w:r>
                </w:p>
              </w:tc>
            </w:tr>
            <w:tr w:rsidR="0046316A" w:rsidRPr="003F341E" w14:paraId="28C03D9A" w14:textId="77777777" w:rsidTr="00843963">
              <w:trPr>
                <w:trHeight w:val="20"/>
              </w:trPr>
              <w:tc>
                <w:tcPr>
                  <w:tcW w:w="864" w:type="pct"/>
                  <w:vMerge/>
                  <w:shd w:val="clear" w:color="auto" w:fill="D9D9D9" w:themeFill="background1" w:themeFillShade="D9"/>
                </w:tcPr>
                <w:p w14:paraId="5DC21B1C" w14:textId="77777777" w:rsidR="0046316A" w:rsidRPr="003F341E" w:rsidRDefault="0046316A" w:rsidP="0046316A">
                  <w:pPr>
                    <w:rPr>
                      <w:szCs w:val="20"/>
                    </w:rPr>
                  </w:pPr>
                </w:p>
              </w:tc>
              <w:tc>
                <w:tcPr>
                  <w:tcW w:w="1203" w:type="pct"/>
                  <w:shd w:val="clear" w:color="auto" w:fill="F2F2F2" w:themeFill="background1" w:themeFillShade="F2"/>
                </w:tcPr>
                <w:p w14:paraId="7A96E6D9" w14:textId="77777777" w:rsidR="0046316A" w:rsidRPr="003F341E" w:rsidRDefault="0046316A" w:rsidP="0046316A">
                  <w:pPr>
                    <w:rPr>
                      <w:szCs w:val="20"/>
                    </w:rPr>
                  </w:pPr>
                  <w:r w:rsidRPr="003F341E">
                    <w:rPr>
                      <w:szCs w:val="20"/>
                    </w:rPr>
                    <w:t>1</w:t>
                  </w:r>
                  <w:r w:rsidRPr="003F341E">
                    <w:rPr>
                      <w:szCs w:val="20"/>
                      <w:vertAlign w:val="superscript"/>
                    </w:rPr>
                    <w:t>st</w:t>
                  </w:r>
                  <w:r w:rsidRPr="003F341E">
                    <w:rPr>
                      <w:szCs w:val="20"/>
                    </w:rPr>
                    <w:t xml:space="preserve"> Baseline (BL)</w:t>
                  </w:r>
                </w:p>
              </w:tc>
              <w:tc>
                <w:tcPr>
                  <w:tcW w:w="914" w:type="pct"/>
                  <w:shd w:val="clear" w:color="auto" w:fill="F2F2F2" w:themeFill="background1" w:themeFillShade="F2"/>
                </w:tcPr>
                <w:p w14:paraId="0A22FF55" w14:textId="77777777" w:rsidR="0046316A" w:rsidRPr="003F341E" w:rsidRDefault="0046316A" w:rsidP="0046316A">
                  <w:pPr>
                    <w:rPr>
                      <w:szCs w:val="20"/>
                    </w:rPr>
                  </w:pPr>
                  <w:r w:rsidRPr="003F341E">
                    <w:rPr>
                      <w:szCs w:val="20"/>
                    </w:rPr>
                    <w:t>2</w:t>
                  </w:r>
                  <w:r w:rsidRPr="003F341E">
                    <w:rPr>
                      <w:szCs w:val="20"/>
                      <w:vertAlign w:val="superscript"/>
                    </w:rPr>
                    <w:t>nd</w:t>
                  </w:r>
                  <w:r w:rsidRPr="003F341E">
                    <w:rPr>
                      <w:szCs w:val="20"/>
                    </w:rPr>
                    <w:t xml:space="preserve"> BL</w:t>
                  </w:r>
                </w:p>
              </w:tc>
              <w:tc>
                <w:tcPr>
                  <w:tcW w:w="963" w:type="pct"/>
                  <w:shd w:val="clear" w:color="auto" w:fill="F2F2F2" w:themeFill="background1" w:themeFillShade="F2"/>
                </w:tcPr>
                <w:p w14:paraId="7BAA13F3" w14:textId="77777777" w:rsidR="0046316A" w:rsidRPr="003F341E" w:rsidRDefault="0046316A" w:rsidP="0046316A">
                  <w:pPr>
                    <w:rPr>
                      <w:szCs w:val="20"/>
                    </w:rPr>
                  </w:pPr>
                  <w:r w:rsidRPr="003F341E">
                    <w:rPr>
                      <w:szCs w:val="20"/>
                    </w:rPr>
                    <w:t>1</w:t>
                  </w:r>
                  <w:r w:rsidRPr="003F341E">
                    <w:rPr>
                      <w:szCs w:val="20"/>
                      <w:vertAlign w:val="superscript"/>
                    </w:rPr>
                    <w:t>st</w:t>
                  </w:r>
                  <w:r w:rsidRPr="003F341E">
                    <w:rPr>
                      <w:szCs w:val="20"/>
                    </w:rPr>
                    <w:t xml:space="preserve"> BL</w:t>
                  </w:r>
                </w:p>
              </w:tc>
              <w:tc>
                <w:tcPr>
                  <w:tcW w:w="1056" w:type="pct"/>
                  <w:shd w:val="clear" w:color="auto" w:fill="F2F2F2" w:themeFill="background1" w:themeFillShade="F2"/>
                </w:tcPr>
                <w:p w14:paraId="46CC5AB2" w14:textId="77777777" w:rsidR="0046316A" w:rsidRPr="003F341E" w:rsidRDefault="0046316A" w:rsidP="0046316A">
                  <w:pPr>
                    <w:rPr>
                      <w:szCs w:val="20"/>
                    </w:rPr>
                  </w:pPr>
                  <w:r w:rsidRPr="003F341E">
                    <w:rPr>
                      <w:szCs w:val="20"/>
                    </w:rPr>
                    <w:t>2</w:t>
                  </w:r>
                  <w:r w:rsidRPr="003F341E">
                    <w:rPr>
                      <w:szCs w:val="20"/>
                      <w:vertAlign w:val="superscript"/>
                    </w:rPr>
                    <w:t>nd</w:t>
                  </w:r>
                  <w:r w:rsidRPr="003F341E">
                    <w:rPr>
                      <w:szCs w:val="20"/>
                    </w:rPr>
                    <w:t xml:space="preserve"> BL</w:t>
                  </w:r>
                </w:p>
              </w:tc>
            </w:tr>
            <w:tr w:rsidR="0046316A" w:rsidRPr="003F341E" w14:paraId="3055B78D" w14:textId="77777777" w:rsidTr="00843963">
              <w:trPr>
                <w:trHeight w:val="20"/>
              </w:trPr>
              <w:tc>
                <w:tcPr>
                  <w:tcW w:w="864" w:type="pct"/>
                </w:tcPr>
                <w:p w14:paraId="7207F5BD" w14:textId="77777777" w:rsidR="0046316A" w:rsidRPr="003F341E" w:rsidRDefault="0046316A" w:rsidP="0046316A">
                  <w:pPr>
                    <w:rPr>
                      <w:szCs w:val="20"/>
                    </w:rPr>
                  </w:pPr>
                  <w:r w:rsidRPr="003F341E">
                    <w:rPr>
                      <w:szCs w:val="20"/>
                    </w:rPr>
                    <w:t>Retrofit Add-on (REA)</w:t>
                  </w:r>
                </w:p>
              </w:tc>
              <w:tc>
                <w:tcPr>
                  <w:tcW w:w="1203" w:type="pct"/>
                </w:tcPr>
                <w:p w14:paraId="366B47BA" w14:textId="77777777" w:rsidR="0046316A" w:rsidRPr="003F341E" w:rsidRDefault="0046316A" w:rsidP="0046316A">
                  <w:pPr>
                    <w:rPr>
                      <w:szCs w:val="20"/>
                    </w:rPr>
                  </w:pPr>
                  <w:r w:rsidRPr="003F341E">
                    <w:rPr>
                      <w:szCs w:val="20"/>
                    </w:rPr>
                    <w:t xml:space="preserve">Above Customer Existing (See </w:t>
                  </w:r>
                  <w:r w:rsidRPr="003F341E">
                    <w:rPr>
                      <w:b/>
                      <w:i/>
                      <w:szCs w:val="20"/>
                    </w:rPr>
                    <w:t xml:space="preserve">Section </w:t>
                  </w:r>
                  <w:r w:rsidRPr="003F341E">
                    <w:rPr>
                      <w:b/>
                      <w:i/>
                      <w:szCs w:val="20"/>
                    </w:rPr>
                    <w:fldChar w:fldCharType="begin"/>
                  </w:r>
                  <w:r w:rsidRPr="003F341E">
                    <w:rPr>
                      <w:b/>
                      <w:i/>
                      <w:szCs w:val="20"/>
                    </w:rPr>
                    <w:instrText xml:space="preserve"> REF _Ref478547362 \h  \* MERGEFORMAT </w:instrText>
                  </w:r>
                  <w:r w:rsidRPr="003F341E">
                    <w:rPr>
                      <w:b/>
                      <w:i/>
                      <w:szCs w:val="20"/>
                    </w:rPr>
                  </w:r>
                  <w:r w:rsidRPr="003F341E">
                    <w:rPr>
                      <w:b/>
                      <w:i/>
                      <w:szCs w:val="20"/>
                    </w:rPr>
                    <w:fldChar w:fldCharType="separate"/>
                  </w:r>
                  <w:r w:rsidRPr="003F341E">
                    <w:rPr>
                      <w:rFonts w:cstheme="minorHAnsi"/>
                      <w:b/>
                      <w:i/>
                      <w:szCs w:val="20"/>
                    </w:rPr>
                    <w:t>2.1</w:t>
                  </w:r>
                  <w:r w:rsidRPr="003F341E">
                    <w:rPr>
                      <w:b/>
                      <w:i/>
                      <w:szCs w:val="20"/>
                    </w:rPr>
                    <w:fldChar w:fldCharType="end"/>
                  </w:r>
                  <w:r w:rsidRPr="003F341E">
                    <w:rPr>
                      <w:szCs w:val="20"/>
                    </w:rPr>
                    <w:t xml:space="preserve">) </w:t>
                  </w:r>
                </w:p>
              </w:tc>
              <w:tc>
                <w:tcPr>
                  <w:tcW w:w="914" w:type="pct"/>
                </w:tcPr>
                <w:p w14:paraId="4CAB6BFB" w14:textId="77777777" w:rsidR="0046316A" w:rsidRPr="003F341E" w:rsidRDefault="0046316A" w:rsidP="0046316A">
                  <w:pPr>
                    <w:rPr>
                      <w:szCs w:val="20"/>
                    </w:rPr>
                  </w:pPr>
                  <w:r w:rsidRPr="003F341E">
                    <w:rPr>
                      <w:szCs w:val="20"/>
                    </w:rPr>
                    <w:t xml:space="preserve">N/A (Above Code Baseline) </w:t>
                  </w:r>
                </w:p>
              </w:tc>
              <w:tc>
                <w:tcPr>
                  <w:tcW w:w="963" w:type="pct"/>
                </w:tcPr>
                <w:p w14:paraId="675A6BF9" w14:textId="77777777" w:rsidR="0046316A" w:rsidRPr="003F341E" w:rsidRDefault="0046316A" w:rsidP="0046316A">
                  <w:pPr>
                    <w:rPr>
                      <w:szCs w:val="20"/>
                    </w:rPr>
                  </w:pPr>
                  <w:r w:rsidRPr="003F341E">
                    <w:rPr>
                      <w:szCs w:val="20"/>
                    </w:rPr>
                    <w:t>RUL (6.67 years)</w:t>
                  </w:r>
                </w:p>
              </w:tc>
              <w:tc>
                <w:tcPr>
                  <w:tcW w:w="1056" w:type="pct"/>
                </w:tcPr>
                <w:p w14:paraId="12ED2FF6" w14:textId="77777777" w:rsidR="0046316A" w:rsidRPr="003F341E" w:rsidRDefault="0046316A" w:rsidP="0046316A">
                  <w:pPr>
                    <w:rPr>
                      <w:szCs w:val="20"/>
                    </w:rPr>
                  </w:pPr>
                  <w:r w:rsidRPr="003F341E">
                    <w:rPr>
                      <w:szCs w:val="20"/>
                    </w:rPr>
                    <w:t>EUL – RUL (13.33 years)</w:t>
                  </w:r>
                </w:p>
              </w:tc>
            </w:tr>
          </w:tbl>
          <w:p w14:paraId="62C41281" w14:textId="2F37B8AE" w:rsidR="00CB11C9" w:rsidRPr="001259FE" w:rsidRDefault="00CB11C9" w:rsidP="001259FE">
            <w:pPr>
              <w:rPr>
                <w:rFonts w:cs="Arial"/>
                <w:sz w:val="20"/>
                <w:szCs w:val="20"/>
              </w:rPr>
            </w:pPr>
          </w:p>
        </w:tc>
      </w:tr>
      <w:tr w:rsidR="00CB11C9" w14:paraId="135D5ADE" w14:textId="77777777" w:rsidTr="008E0122">
        <w:tc>
          <w:tcPr>
            <w:tcW w:w="2303" w:type="dxa"/>
            <w:vAlign w:val="center"/>
          </w:tcPr>
          <w:p w14:paraId="7C15F2F3" w14:textId="77777777" w:rsidR="00CB11C9" w:rsidRPr="007D04D7" w:rsidRDefault="00CB11C9" w:rsidP="005B2619">
            <w:pPr>
              <w:jc w:val="right"/>
              <w:rPr>
                <w:szCs w:val="22"/>
              </w:rPr>
            </w:pPr>
            <w:r w:rsidRPr="007D04D7">
              <w:rPr>
                <w:szCs w:val="22"/>
              </w:rPr>
              <w:t>Delivery Mechanisms</w:t>
            </w:r>
          </w:p>
        </w:tc>
        <w:tc>
          <w:tcPr>
            <w:tcW w:w="8767" w:type="dxa"/>
          </w:tcPr>
          <w:p w14:paraId="091310A3" w14:textId="6F426F5C" w:rsidR="0046316A" w:rsidRPr="003F341E" w:rsidRDefault="0046316A" w:rsidP="0046316A">
            <w:pPr>
              <w:pStyle w:val="Caption"/>
              <w:keepNext/>
              <w:jc w:val="center"/>
              <w:rPr>
                <w:sz w:val="20"/>
                <w:szCs w:val="20"/>
              </w:rPr>
            </w:pPr>
            <w:r w:rsidRPr="003F341E">
              <w:rPr>
                <w:sz w:val="20"/>
                <w:szCs w:val="20"/>
              </w:rPr>
              <w:t>Incentive Method Descriptions</w:t>
            </w:r>
          </w:p>
          <w:tbl>
            <w:tblPr>
              <w:tblStyle w:val="TableGrid1"/>
              <w:tblW w:w="5000" w:type="pct"/>
              <w:tblLook w:val="04A0" w:firstRow="1" w:lastRow="0" w:firstColumn="1" w:lastColumn="0" w:noHBand="0" w:noVBand="1"/>
            </w:tblPr>
            <w:tblGrid>
              <w:gridCol w:w="2216"/>
              <w:gridCol w:w="6325"/>
            </w:tblGrid>
            <w:tr w:rsidR="0046316A" w:rsidRPr="003F341E" w14:paraId="280633AD" w14:textId="77777777" w:rsidTr="00843963">
              <w:tc>
                <w:tcPr>
                  <w:tcW w:w="1297" w:type="pct"/>
                  <w:shd w:val="clear" w:color="auto" w:fill="D9D9D9" w:themeFill="background1" w:themeFillShade="D9"/>
                </w:tcPr>
                <w:p w14:paraId="3B71F2DD" w14:textId="77777777" w:rsidR="0046316A" w:rsidRPr="003F341E" w:rsidRDefault="0046316A" w:rsidP="0046316A">
                  <w:pPr>
                    <w:rPr>
                      <w:b/>
                      <w:szCs w:val="20"/>
                    </w:rPr>
                  </w:pPr>
                  <w:r w:rsidRPr="003F341E">
                    <w:rPr>
                      <w:b/>
                      <w:szCs w:val="20"/>
                    </w:rPr>
                    <w:t>Incentive Method</w:t>
                  </w:r>
                </w:p>
              </w:tc>
              <w:tc>
                <w:tcPr>
                  <w:tcW w:w="3703" w:type="pct"/>
                  <w:shd w:val="clear" w:color="auto" w:fill="D9D9D9" w:themeFill="background1" w:themeFillShade="D9"/>
                </w:tcPr>
                <w:p w14:paraId="1D7EE439" w14:textId="77777777" w:rsidR="0046316A" w:rsidRPr="003F341E" w:rsidRDefault="0046316A" w:rsidP="0046316A">
                  <w:pPr>
                    <w:rPr>
                      <w:b/>
                      <w:szCs w:val="20"/>
                    </w:rPr>
                  </w:pPr>
                  <w:r w:rsidRPr="003F341E">
                    <w:rPr>
                      <w:b/>
                      <w:szCs w:val="20"/>
                    </w:rPr>
                    <w:t>Description</w:t>
                  </w:r>
                </w:p>
              </w:tc>
            </w:tr>
            <w:tr w:rsidR="0046316A" w:rsidRPr="003F341E" w14:paraId="4F7D5927" w14:textId="77777777" w:rsidTr="00843963">
              <w:tc>
                <w:tcPr>
                  <w:tcW w:w="1297" w:type="pct"/>
                </w:tcPr>
                <w:p w14:paraId="10F94CF1" w14:textId="77777777" w:rsidR="0046316A" w:rsidRPr="003F341E" w:rsidRDefault="0046316A" w:rsidP="0046316A">
                  <w:pPr>
                    <w:autoSpaceDE w:val="0"/>
                    <w:autoSpaceDN w:val="0"/>
                    <w:adjustRightInd w:val="0"/>
                    <w:spacing w:line="240" w:lineRule="atLeast"/>
                    <w:rPr>
                      <w:szCs w:val="20"/>
                    </w:rPr>
                  </w:pPr>
                  <w:r w:rsidRPr="003F341E">
                    <w:rPr>
                      <w:rFonts w:cs="Helv"/>
                      <w:szCs w:val="20"/>
                    </w:rPr>
                    <w:t>Direct Install (DirInstall)</w:t>
                  </w:r>
                </w:p>
              </w:tc>
              <w:tc>
                <w:tcPr>
                  <w:tcW w:w="3703" w:type="pct"/>
                </w:tcPr>
                <w:p w14:paraId="47096BE7" w14:textId="77777777" w:rsidR="0046316A" w:rsidRPr="003F341E" w:rsidRDefault="0046316A" w:rsidP="0046316A">
                  <w:pPr>
                    <w:autoSpaceDE w:val="0"/>
                    <w:autoSpaceDN w:val="0"/>
                    <w:adjustRightInd w:val="0"/>
                    <w:rPr>
                      <w:szCs w:val="20"/>
                    </w:rPr>
                  </w:pPr>
                  <w:r w:rsidRPr="003F341E">
                    <w:rPr>
                      <w:rFonts w:cs="Helv"/>
                      <w:szCs w:val="20"/>
                    </w:rPr>
                    <w:t xml:space="preserve">The program </w:t>
                  </w:r>
                  <w:r w:rsidRPr="003F341E">
                    <w:rPr>
                      <w:szCs w:val="20"/>
                    </w:rPr>
                    <w:t>implements energy efficiency measures for qualifying customers, at no cost to the customer.</w:t>
                  </w:r>
                </w:p>
              </w:tc>
            </w:tr>
            <w:tr w:rsidR="00870D6A" w:rsidRPr="003F341E" w14:paraId="1C7926F4" w14:textId="77777777" w:rsidTr="00843963">
              <w:tc>
                <w:tcPr>
                  <w:tcW w:w="1297" w:type="pct"/>
                </w:tcPr>
                <w:p w14:paraId="5F26B756" w14:textId="1B9E650C" w:rsidR="00870D6A" w:rsidRPr="003F341E" w:rsidRDefault="00870D6A" w:rsidP="0046316A">
                  <w:pPr>
                    <w:autoSpaceDE w:val="0"/>
                    <w:autoSpaceDN w:val="0"/>
                    <w:adjustRightInd w:val="0"/>
                    <w:spacing w:line="240" w:lineRule="atLeast"/>
                    <w:rPr>
                      <w:rFonts w:cs="Helv"/>
                      <w:szCs w:val="20"/>
                    </w:rPr>
                  </w:pPr>
                  <w:r w:rsidRPr="003F341E">
                    <w:rPr>
                      <w:rFonts w:cs="Helv"/>
                      <w:szCs w:val="20"/>
                    </w:rPr>
                    <w:t>Downstream Rebate (PreRebDown)</w:t>
                  </w:r>
                </w:p>
              </w:tc>
              <w:tc>
                <w:tcPr>
                  <w:tcW w:w="3703" w:type="pct"/>
                </w:tcPr>
                <w:p w14:paraId="6B544F75" w14:textId="1978C379" w:rsidR="00870D6A" w:rsidRPr="003F341E" w:rsidRDefault="00843963" w:rsidP="0046316A">
                  <w:pPr>
                    <w:autoSpaceDE w:val="0"/>
                    <w:autoSpaceDN w:val="0"/>
                    <w:adjustRightInd w:val="0"/>
                    <w:rPr>
                      <w:rFonts w:cs="Helv"/>
                      <w:szCs w:val="20"/>
                    </w:rPr>
                  </w:pPr>
                  <w:r w:rsidRPr="003F341E">
                    <w:rPr>
                      <w:rFonts w:cs="Helv"/>
                      <w:szCs w:val="20"/>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00DC02A0" w14:textId="1A282628" w:rsidR="0046316A" w:rsidRPr="003F341E" w:rsidRDefault="0046316A" w:rsidP="00CF0DA9">
            <w:pPr>
              <w:rPr>
                <w:rFonts w:cs="Arial"/>
                <w:sz w:val="20"/>
                <w:szCs w:val="20"/>
              </w:rPr>
            </w:pPr>
          </w:p>
        </w:tc>
      </w:tr>
      <w:tr w:rsidR="00CB11C9" w14:paraId="1CEA8B67" w14:textId="77777777" w:rsidTr="008E0122">
        <w:tc>
          <w:tcPr>
            <w:tcW w:w="2303" w:type="dxa"/>
          </w:tcPr>
          <w:p w14:paraId="7F73A69A" w14:textId="77777777" w:rsidR="00CB11C9" w:rsidRPr="001D77F7" w:rsidRDefault="00CB11C9" w:rsidP="005B2619">
            <w:pPr>
              <w:rPr>
                <w:b/>
              </w:rPr>
            </w:pPr>
            <w:r w:rsidRPr="001D77F7">
              <w:rPr>
                <w:b/>
              </w:rPr>
              <w:t>1.4.1 DEER Data</w:t>
            </w:r>
          </w:p>
        </w:tc>
        <w:tc>
          <w:tcPr>
            <w:tcW w:w="8767" w:type="dxa"/>
          </w:tcPr>
          <w:p w14:paraId="12CB50E1" w14:textId="77777777" w:rsidR="00CB11C9" w:rsidRPr="003F341E" w:rsidRDefault="00CB11C9" w:rsidP="005B2619">
            <w:pPr>
              <w:rPr>
                <w:sz w:val="20"/>
                <w:szCs w:val="20"/>
              </w:rPr>
            </w:pPr>
          </w:p>
        </w:tc>
      </w:tr>
      <w:tr w:rsidR="00CB11C9" w14:paraId="01BD478D" w14:textId="77777777" w:rsidTr="008E0122">
        <w:tc>
          <w:tcPr>
            <w:tcW w:w="2303" w:type="dxa"/>
          </w:tcPr>
          <w:p w14:paraId="6CF2A2B7" w14:textId="77777777" w:rsidR="00CB11C9" w:rsidRPr="007D04D7" w:rsidRDefault="00CB11C9" w:rsidP="005B2619">
            <w:pPr>
              <w:jc w:val="right"/>
              <w:rPr>
                <w:szCs w:val="22"/>
              </w:rPr>
            </w:pPr>
            <w:r w:rsidRPr="007D04D7">
              <w:rPr>
                <w:szCs w:val="22"/>
              </w:rPr>
              <w:t>DEER Measure ID</w:t>
            </w:r>
          </w:p>
        </w:tc>
        <w:tc>
          <w:tcPr>
            <w:tcW w:w="8767" w:type="dxa"/>
          </w:tcPr>
          <w:p w14:paraId="33593E71" w14:textId="77777777" w:rsidR="00CB11C9" w:rsidRPr="003F341E" w:rsidRDefault="00CB11C9" w:rsidP="005B2619">
            <w:pPr>
              <w:rPr>
                <w:rFonts w:cs="Arial"/>
                <w:sz w:val="20"/>
                <w:szCs w:val="20"/>
              </w:rPr>
            </w:pPr>
            <w:r w:rsidRPr="003F341E">
              <w:rPr>
                <w:rFonts w:cs="Arial"/>
                <w:sz w:val="20"/>
                <w:szCs w:val="20"/>
              </w:rPr>
              <w:t>DEER does not contain this type of measure.</w:t>
            </w:r>
          </w:p>
        </w:tc>
      </w:tr>
      <w:tr w:rsidR="00CB11C9" w14:paraId="37374930" w14:textId="77777777" w:rsidTr="008E0122">
        <w:tc>
          <w:tcPr>
            <w:tcW w:w="2303" w:type="dxa"/>
            <w:vAlign w:val="center"/>
          </w:tcPr>
          <w:p w14:paraId="556E9F2C" w14:textId="77777777" w:rsidR="00CB11C9" w:rsidRPr="007D04D7" w:rsidRDefault="00CB11C9" w:rsidP="005B2619">
            <w:pPr>
              <w:jc w:val="right"/>
              <w:rPr>
                <w:szCs w:val="22"/>
              </w:rPr>
            </w:pPr>
            <w:r w:rsidRPr="007D04D7">
              <w:rPr>
                <w:szCs w:val="22"/>
              </w:rPr>
              <w:t>Net-to-Gross Ratio</w:t>
            </w:r>
          </w:p>
        </w:tc>
        <w:tc>
          <w:tcPr>
            <w:tcW w:w="8767" w:type="dxa"/>
          </w:tcPr>
          <w:p w14:paraId="07998BC2" w14:textId="06133A07" w:rsidR="0046316A" w:rsidRPr="007D04D7" w:rsidRDefault="0046316A" w:rsidP="0046316A">
            <w:pPr>
              <w:pStyle w:val="Caption"/>
              <w:keepNext/>
              <w:jc w:val="center"/>
              <w:rPr>
                <w:szCs w:val="22"/>
              </w:rPr>
            </w:pPr>
            <w:r w:rsidRPr="007D04D7">
              <w:rPr>
                <w:szCs w:val="22"/>
              </w:rPr>
              <w:t>NTG Values</w:t>
            </w:r>
          </w:p>
          <w:tbl>
            <w:tblPr>
              <w:tblStyle w:val="TableGrid1"/>
              <w:tblW w:w="5000" w:type="pct"/>
              <w:tblLook w:val="01E0" w:firstRow="1" w:lastRow="1" w:firstColumn="1" w:lastColumn="1" w:noHBand="0" w:noVBand="0"/>
            </w:tblPr>
            <w:tblGrid>
              <w:gridCol w:w="1378"/>
              <w:gridCol w:w="2709"/>
              <w:gridCol w:w="1217"/>
              <w:gridCol w:w="982"/>
              <w:gridCol w:w="1024"/>
              <w:gridCol w:w="1231"/>
            </w:tblGrid>
            <w:tr w:rsidR="008E0122" w:rsidRPr="007D04D7" w14:paraId="571A4DCE" w14:textId="77777777" w:rsidTr="0046316A">
              <w:tc>
                <w:tcPr>
                  <w:tcW w:w="808" w:type="pct"/>
                  <w:shd w:val="clear" w:color="auto" w:fill="D9D9D9" w:themeFill="background1" w:themeFillShade="D9"/>
                </w:tcPr>
                <w:p w14:paraId="289349AD" w14:textId="77777777" w:rsidR="0046316A" w:rsidRPr="003F341E" w:rsidRDefault="0046316A" w:rsidP="0046316A">
                  <w:pPr>
                    <w:rPr>
                      <w:rFonts w:cstheme="minorHAnsi"/>
                      <w:b/>
                      <w:szCs w:val="20"/>
                    </w:rPr>
                  </w:pPr>
                  <w:r w:rsidRPr="003F341E">
                    <w:rPr>
                      <w:rFonts w:cstheme="minorHAnsi"/>
                      <w:b/>
                      <w:szCs w:val="20"/>
                    </w:rPr>
                    <w:t>NTGR ID</w:t>
                  </w:r>
                </w:p>
              </w:tc>
              <w:tc>
                <w:tcPr>
                  <w:tcW w:w="1587" w:type="pct"/>
                  <w:shd w:val="clear" w:color="auto" w:fill="D9D9D9" w:themeFill="background1" w:themeFillShade="D9"/>
                </w:tcPr>
                <w:p w14:paraId="357E2E2A" w14:textId="77777777" w:rsidR="0046316A" w:rsidRPr="003F341E" w:rsidRDefault="0046316A" w:rsidP="0046316A">
                  <w:pPr>
                    <w:rPr>
                      <w:rFonts w:cstheme="minorHAnsi"/>
                      <w:b/>
                      <w:szCs w:val="20"/>
                    </w:rPr>
                  </w:pPr>
                  <w:r w:rsidRPr="003F341E">
                    <w:rPr>
                      <w:rFonts w:cstheme="minorHAnsi"/>
                      <w:b/>
                      <w:szCs w:val="20"/>
                    </w:rPr>
                    <w:t>Description</w:t>
                  </w:r>
                </w:p>
              </w:tc>
              <w:tc>
                <w:tcPr>
                  <w:tcW w:w="713" w:type="pct"/>
                  <w:shd w:val="clear" w:color="auto" w:fill="D9D9D9" w:themeFill="background1" w:themeFillShade="D9"/>
                </w:tcPr>
                <w:p w14:paraId="44BDE390" w14:textId="77777777" w:rsidR="0046316A" w:rsidRPr="003F341E" w:rsidRDefault="0046316A" w:rsidP="0046316A">
                  <w:pPr>
                    <w:rPr>
                      <w:rFonts w:cstheme="minorHAnsi"/>
                      <w:b/>
                      <w:szCs w:val="20"/>
                    </w:rPr>
                  </w:pPr>
                  <w:r w:rsidRPr="003F341E">
                    <w:rPr>
                      <w:rFonts w:cstheme="minorHAnsi"/>
                      <w:b/>
                      <w:szCs w:val="20"/>
                    </w:rPr>
                    <w:t>Sector</w:t>
                  </w:r>
                </w:p>
              </w:tc>
              <w:tc>
                <w:tcPr>
                  <w:tcW w:w="571" w:type="pct"/>
                  <w:shd w:val="clear" w:color="auto" w:fill="D9D9D9" w:themeFill="background1" w:themeFillShade="D9"/>
                </w:tcPr>
                <w:p w14:paraId="43CFF124" w14:textId="77777777" w:rsidR="0046316A" w:rsidRPr="003F341E" w:rsidRDefault="0046316A" w:rsidP="0046316A">
                  <w:pPr>
                    <w:rPr>
                      <w:rFonts w:cstheme="minorHAnsi"/>
                      <w:b/>
                      <w:szCs w:val="20"/>
                    </w:rPr>
                  </w:pPr>
                  <w:r w:rsidRPr="003F341E">
                    <w:rPr>
                      <w:rFonts w:cstheme="minorHAnsi"/>
                      <w:b/>
                      <w:szCs w:val="20"/>
                    </w:rPr>
                    <w:t>BldgType</w:t>
                  </w:r>
                </w:p>
              </w:tc>
              <w:tc>
                <w:tcPr>
                  <w:tcW w:w="600" w:type="pct"/>
                  <w:shd w:val="clear" w:color="auto" w:fill="D9D9D9" w:themeFill="background1" w:themeFillShade="D9"/>
                </w:tcPr>
                <w:p w14:paraId="1B62C626" w14:textId="77777777" w:rsidR="0046316A" w:rsidRPr="003F341E" w:rsidRDefault="0046316A" w:rsidP="0046316A">
                  <w:pPr>
                    <w:rPr>
                      <w:rFonts w:cstheme="minorHAnsi"/>
                      <w:b/>
                      <w:szCs w:val="20"/>
                    </w:rPr>
                  </w:pPr>
                  <w:r w:rsidRPr="003F341E">
                    <w:rPr>
                      <w:rFonts w:cstheme="minorHAnsi"/>
                      <w:b/>
                      <w:szCs w:val="20"/>
                    </w:rPr>
                    <w:t>Measure Delivery</w:t>
                  </w:r>
                </w:p>
              </w:tc>
              <w:tc>
                <w:tcPr>
                  <w:tcW w:w="721" w:type="pct"/>
                  <w:shd w:val="clear" w:color="auto" w:fill="D9D9D9" w:themeFill="background1" w:themeFillShade="D9"/>
                </w:tcPr>
                <w:p w14:paraId="37587200" w14:textId="77777777" w:rsidR="0046316A" w:rsidRPr="003F341E" w:rsidRDefault="0046316A" w:rsidP="0046316A">
                  <w:pPr>
                    <w:rPr>
                      <w:rFonts w:cstheme="minorHAnsi"/>
                      <w:b/>
                      <w:szCs w:val="20"/>
                    </w:rPr>
                  </w:pPr>
                  <w:r w:rsidRPr="003F341E">
                    <w:rPr>
                      <w:rFonts w:cstheme="minorHAnsi"/>
                      <w:b/>
                      <w:szCs w:val="20"/>
                    </w:rPr>
                    <w:t>NTGR</w:t>
                  </w:r>
                </w:p>
              </w:tc>
            </w:tr>
            <w:tr w:rsidR="0046316A" w:rsidRPr="007D04D7" w14:paraId="19E757E3" w14:textId="77777777" w:rsidTr="0046316A">
              <w:tc>
                <w:tcPr>
                  <w:tcW w:w="808" w:type="pct"/>
                </w:tcPr>
                <w:p w14:paraId="2727AF94" w14:textId="77777777" w:rsidR="0046316A" w:rsidRPr="003F341E" w:rsidRDefault="0046316A" w:rsidP="0046316A">
                  <w:pPr>
                    <w:rPr>
                      <w:szCs w:val="20"/>
                    </w:rPr>
                  </w:pPr>
                  <w:r w:rsidRPr="003F341E">
                    <w:rPr>
                      <w:szCs w:val="20"/>
                    </w:rPr>
                    <w:t>All-Default&lt;=2yrs</w:t>
                  </w:r>
                </w:p>
              </w:tc>
              <w:tc>
                <w:tcPr>
                  <w:tcW w:w="1587" w:type="pct"/>
                </w:tcPr>
                <w:p w14:paraId="38878F24" w14:textId="77777777" w:rsidR="0046316A" w:rsidRPr="003F341E" w:rsidRDefault="0046316A" w:rsidP="0046316A">
                  <w:pPr>
                    <w:rPr>
                      <w:szCs w:val="20"/>
                    </w:rPr>
                  </w:pPr>
                  <w:r w:rsidRPr="003F341E">
                    <w:rPr>
                      <w:szCs w:val="20"/>
                    </w:rPr>
                    <w:t>All other EEM with no evaluated NTGR; new technology in program for 2 or fewer years</w:t>
                  </w:r>
                </w:p>
              </w:tc>
              <w:tc>
                <w:tcPr>
                  <w:tcW w:w="713" w:type="pct"/>
                </w:tcPr>
                <w:p w14:paraId="438B31C4" w14:textId="77777777" w:rsidR="0046316A" w:rsidRPr="003F341E" w:rsidRDefault="0046316A" w:rsidP="0046316A">
                  <w:pPr>
                    <w:rPr>
                      <w:szCs w:val="20"/>
                    </w:rPr>
                  </w:pPr>
                  <w:r w:rsidRPr="003F341E">
                    <w:rPr>
                      <w:szCs w:val="20"/>
                    </w:rPr>
                    <w:t>Any</w:t>
                  </w:r>
                </w:p>
                <w:p w14:paraId="4E01164D" w14:textId="77777777" w:rsidR="0046316A" w:rsidRPr="003F341E" w:rsidRDefault="0046316A" w:rsidP="0046316A">
                  <w:pPr>
                    <w:rPr>
                      <w:szCs w:val="20"/>
                    </w:rPr>
                  </w:pPr>
                </w:p>
              </w:tc>
              <w:tc>
                <w:tcPr>
                  <w:tcW w:w="571" w:type="pct"/>
                </w:tcPr>
                <w:p w14:paraId="1AC1699B" w14:textId="77777777" w:rsidR="0046316A" w:rsidRPr="003F341E" w:rsidRDefault="0046316A" w:rsidP="0046316A">
                  <w:pPr>
                    <w:rPr>
                      <w:szCs w:val="20"/>
                    </w:rPr>
                  </w:pPr>
                  <w:r w:rsidRPr="003F341E">
                    <w:rPr>
                      <w:szCs w:val="20"/>
                    </w:rPr>
                    <w:t>Any</w:t>
                  </w:r>
                </w:p>
              </w:tc>
              <w:tc>
                <w:tcPr>
                  <w:tcW w:w="600" w:type="pct"/>
                </w:tcPr>
                <w:p w14:paraId="08FD2CCA" w14:textId="77777777" w:rsidR="0046316A" w:rsidRPr="003F341E" w:rsidRDefault="0046316A" w:rsidP="0046316A">
                  <w:pPr>
                    <w:rPr>
                      <w:szCs w:val="20"/>
                    </w:rPr>
                  </w:pPr>
                  <w:r w:rsidRPr="003F341E">
                    <w:rPr>
                      <w:szCs w:val="20"/>
                    </w:rPr>
                    <w:t>Any</w:t>
                  </w:r>
                </w:p>
              </w:tc>
              <w:tc>
                <w:tcPr>
                  <w:tcW w:w="721" w:type="pct"/>
                </w:tcPr>
                <w:p w14:paraId="73ABEDD0" w14:textId="77777777" w:rsidR="0046316A" w:rsidRPr="003F341E" w:rsidRDefault="0046316A" w:rsidP="0046316A">
                  <w:pPr>
                    <w:rPr>
                      <w:szCs w:val="20"/>
                    </w:rPr>
                  </w:pPr>
                  <w:r w:rsidRPr="003F341E">
                    <w:rPr>
                      <w:szCs w:val="20"/>
                    </w:rPr>
                    <w:t>0.7</w:t>
                  </w:r>
                </w:p>
                <w:p w14:paraId="25CF39C1" w14:textId="77777777" w:rsidR="0046316A" w:rsidRPr="003F341E" w:rsidRDefault="0046316A" w:rsidP="0046316A">
                  <w:pPr>
                    <w:rPr>
                      <w:szCs w:val="20"/>
                    </w:rPr>
                  </w:pPr>
                </w:p>
              </w:tc>
            </w:tr>
          </w:tbl>
          <w:p w14:paraId="0FDD489C" w14:textId="6882B196" w:rsidR="00CB11C9" w:rsidRPr="007D04D7" w:rsidRDefault="00CB11C9" w:rsidP="005B2619">
            <w:pPr>
              <w:rPr>
                <w:rFonts w:cs="Arial"/>
                <w:szCs w:val="22"/>
              </w:rPr>
            </w:pPr>
          </w:p>
        </w:tc>
      </w:tr>
      <w:tr w:rsidR="00CB11C9" w14:paraId="2A6F9BA0" w14:textId="77777777" w:rsidTr="008E0122">
        <w:tc>
          <w:tcPr>
            <w:tcW w:w="2303" w:type="dxa"/>
            <w:vAlign w:val="center"/>
          </w:tcPr>
          <w:p w14:paraId="5EFF78F9" w14:textId="77777777" w:rsidR="00CB11C9" w:rsidRPr="007D04D7" w:rsidRDefault="00CB11C9" w:rsidP="005B2619">
            <w:pPr>
              <w:jc w:val="right"/>
              <w:rPr>
                <w:szCs w:val="22"/>
              </w:rPr>
            </w:pPr>
            <w:r w:rsidRPr="007D04D7">
              <w:rPr>
                <w:szCs w:val="22"/>
              </w:rPr>
              <w:t>Effective and Remaining Useful Life</w:t>
            </w:r>
          </w:p>
        </w:tc>
        <w:tc>
          <w:tcPr>
            <w:tcW w:w="8767" w:type="dxa"/>
          </w:tcPr>
          <w:p w14:paraId="15761491" w14:textId="77777777" w:rsidR="008E0122" w:rsidRPr="003F341E" w:rsidRDefault="008E0122" w:rsidP="008E0122">
            <w:pPr>
              <w:pStyle w:val="Caption"/>
              <w:keepNext/>
              <w:jc w:val="center"/>
              <w:rPr>
                <w:szCs w:val="22"/>
              </w:rPr>
            </w:pPr>
            <w:r w:rsidRPr="003F341E">
              <w:rPr>
                <w:szCs w:val="22"/>
              </w:rPr>
              <w:t>EUL and RUL Values</w:t>
            </w:r>
          </w:p>
          <w:tbl>
            <w:tblPr>
              <w:tblStyle w:val="TableGrid1"/>
              <w:tblW w:w="5000" w:type="pct"/>
              <w:tblLook w:val="04A0" w:firstRow="1" w:lastRow="0" w:firstColumn="1" w:lastColumn="0" w:noHBand="0" w:noVBand="1"/>
            </w:tblPr>
            <w:tblGrid>
              <w:gridCol w:w="1363"/>
              <w:gridCol w:w="2409"/>
              <w:gridCol w:w="796"/>
              <w:gridCol w:w="1377"/>
              <w:gridCol w:w="1315"/>
              <w:gridCol w:w="1281"/>
            </w:tblGrid>
            <w:tr w:rsidR="008E0122" w:rsidRPr="003F341E" w14:paraId="3E64B282" w14:textId="77777777" w:rsidTr="00504629">
              <w:tc>
                <w:tcPr>
                  <w:tcW w:w="798" w:type="pct"/>
                  <w:shd w:val="clear" w:color="auto" w:fill="D9D9D9" w:themeFill="background1" w:themeFillShade="D9"/>
                </w:tcPr>
                <w:p w14:paraId="6DFFB479" w14:textId="77777777" w:rsidR="008E0122" w:rsidRPr="003F341E" w:rsidRDefault="008E0122" w:rsidP="008E0122">
                  <w:pPr>
                    <w:rPr>
                      <w:rFonts w:cstheme="minorHAnsi"/>
                      <w:b/>
                      <w:sz w:val="22"/>
                      <w:szCs w:val="22"/>
                    </w:rPr>
                  </w:pPr>
                  <w:r w:rsidRPr="003F341E">
                    <w:rPr>
                      <w:rFonts w:cstheme="minorHAnsi"/>
                      <w:b/>
                      <w:sz w:val="22"/>
                      <w:szCs w:val="22"/>
                    </w:rPr>
                    <w:t>EUL ID</w:t>
                  </w:r>
                </w:p>
              </w:tc>
              <w:tc>
                <w:tcPr>
                  <w:tcW w:w="1410" w:type="pct"/>
                  <w:shd w:val="clear" w:color="auto" w:fill="D9D9D9" w:themeFill="background1" w:themeFillShade="D9"/>
                </w:tcPr>
                <w:p w14:paraId="05BB6FD6" w14:textId="77777777" w:rsidR="008E0122" w:rsidRPr="003F341E" w:rsidRDefault="008E0122" w:rsidP="008E0122">
                  <w:pPr>
                    <w:rPr>
                      <w:rFonts w:cstheme="minorHAnsi"/>
                      <w:b/>
                      <w:sz w:val="22"/>
                      <w:szCs w:val="22"/>
                    </w:rPr>
                  </w:pPr>
                  <w:r w:rsidRPr="003F341E">
                    <w:rPr>
                      <w:rFonts w:cstheme="minorHAnsi"/>
                      <w:b/>
                      <w:sz w:val="22"/>
                      <w:szCs w:val="22"/>
                    </w:rPr>
                    <w:t>Description</w:t>
                  </w:r>
                </w:p>
              </w:tc>
              <w:tc>
                <w:tcPr>
                  <w:tcW w:w="466" w:type="pct"/>
                  <w:shd w:val="clear" w:color="auto" w:fill="D9D9D9" w:themeFill="background1" w:themeFillShade="D9"/>
                </w:tcPr>
                <w:p w14:paraId="02BE0B2F" w14:textId="77777777" w:rsidR="008E0122" w:rsidRPr="003F341E" w:rsidRDefault="008E0122" w:rsidP="008E0122">
                  <w:pPr>
                    <w:rPr>
                      <w:rFonts w:cstheme="minorHAnsi"/>
                      <w:b/>
                      <w:sz w:val="22"/>
                      <w:szCs w:val="22"/>
                    </w:rPr>
                  </w:pPr>
                  <w:r w:rsidRPr="003F341E">
                    <w:rPr>
                      <w:rFonts w:cstheme="minorHAnsi"/>
                      <w:b/>
                      <w:sz w:val="22"/>
                      <w:szCs w:val="22"/>
                    </w:rPr>
                    <w:t>Sector</w:t>
                  </w:r>
                </w:p>
              </w:tc>
              <w:tc>
                <w:tcPr>
                  <w:tcW w:w="806" w:type="pct"/>
                  <w:shd w:val="clear" w:color="auto" w:fill="D9D9D9" w:themeFill="background1" w:themeFillShade="D9"/>
                </w:tcPr>
                <w:p w14:paraId="4FBFC485" w14:textId="77777777" w:rsidR="008E0122" w:rsidRPr="003F341E" w:rsidRDefault="008E0122" w:rsidP="008E0122">
                  <w:pPr>
                    <w:rPr>
                      <w:rFonts w:cstheme="minorHAnsi"/>
                      <w:b/>
                      <w:sz w:val="22"/>
                      <w:szCs w:val="22"/>
                    </w:rPr>
                  </w:pPr>
                  <w:r w:rsidRPr="003F341E">
                    <w:rPr>
                      <w:rFonts w:cstheme="minorHAnsi"/>
                      <w:b/>
                      <w:sz w:val="22"/>
                      <w:szCs w:val="22"/>
                    </w:rPr>
                    <w:t>UseCategory</w:t>
                  </w:r>
                </w:p>
              </w:tc>
              <w:tc>
                <w:tcPr>
                  <w:tcW w:w="770" w:type="pct"/>
                  <w:shd w:val="clear" w:color="auto" w:fill="D9D9D9" w:themeFill="background1" w:themeFillShade="D9"/>
                </w:tcPr>
                <w:p w14:paraId="0AE2EFE0" w14:textId="77777777" w:rsidR="008E0122" w:rsidRPr="003F341E" w:rsidRDefault="008E0122" w:rsidP="008E0122">
                  <w:pPr>
                    <w:rPr>
                      <w:rFonts w:cstheme="minorHAnsi"/>
                      <w:b/>
                      <w:sz w:val="22"/>
                      <w:szCs w:val="22"/>
                    </w:rPr>
                  </w:pPr>
                  <w:r w:rsidRPr="003F341E">
                    <w:rPr>
                      <w:rFonts w:cstheme="minorHAnsi"/>
                      <w:b/>
                      <w:sz w:val="22"/>
                      <w:szCs w:val="22"/>
                    </w:rPr>
                    <w:t>EUL (Years)</w:t>
                  </w:r>
                </w:p>
              </w:tc>
              <w:tc>
                <w:tcPr>
                  <w:tcW w:w="751" w:type="pct"/>
                  <w:shd w:val="clear" w:color="auto" w:fill="D9D9D9" w:themeFill="background1" w:themeFillShade="D9"/>
                </w:tcPr>
                <w:p w14:paraId="3F19086A" w14:textId="77777777" w:rsidR="008E0122" w:rsidRPr="003F341E" w:rsidRDefault="008E0122" w:rsidP="008E0122">
                  <w:pPr>
                    <w:rPr>
                      <w:rFonts w:cstheme="minorHAnsi"/>
                      <w:b/>
                      <w:sz w:val="22"/>
                      <w:szCs w:val="22"/>
                    </w:rPr>
                  </w:pPr>
                  <w:r w:rsidRPr="003F341E">
                    <w:rPr>
                      <w:rFonts w:cstheme="minorHAnsi"/>
                      <w:b/>
                      <w:sz w:val="22"/>
                      <w:szCs w:val="22"/>
                    </w:rPr>
                    <w:t>RUL (Years)</w:t>
                  </w:r>
                </w:p>
              </w:tc>
            </w:tr>
            <w:tr w:rsidR="008E0122" w:rsidRPr="003F341E" w14:paraId="5EFBE12D" w14:textId="77777777" w:rsidTr="00504629">
              <w:trPr>
                <w:trHeight w:val="243"/>
              </w:trPr>
              <w:tc>
                <w:tcPr>
                  <w:tcW w:w="798" w:type="pct"/>
                </w:tcPr>
                <w:p w14:paraId="38210390" w14:textId="77777777" w:rsidR="008E0122" w:rsidRPr="003F341E" w:rsidRDefault="008E0122" w:rsidP="008E0122">
                  <w:pPr>
                    <w:rPr>
                      <w:sz w:val="22"/>
                      <w:szCs w:val="22"/>
                    </w:rPr>
                  </w:pPr>
                  <w:r w:rsidRPr="003F341E">
                    <w:rPr>
                      <w:sz w:val="22"/>
                      <w:szCs w:val="22"/>
                    </w:rPr>
                    <w:t>WtrHt-WH-Faucet</w:t>
                  </w:r>
                </w:p>
              </w:tc>
              <w:tc>
                <w:tcPr>
                  <w:tcW w:w="1410" w:type="pct"/>
                </w:tcPr>
                <w:p w14:paraId="65927916" w14:textId="77777777" w:rsidR="008E0122" w:rsidRPr="003F341E" w:rsidRDefault="008E0122" w:rsidP="008E0122">
                  <w:pPr>
                    <w:rPr>
                      <w:sz w:val="22"/>
                      <w:szCs w:val="22"/>
                    </w:rPr>
                  </w:pPr>
                  <w:r w:rsidRPr="003F341E">
                    <w:rPr>
                      <w:sz w:val="22"/>
                      <w:szCs w:val="22"/>
                    </w:rPr>
                    <w:t>Faucet Effective Useful Life</w:t>
                  </w:r>
                </w:p>
              </w:tc>
              <w:tc>
                <w:tcPr>
                  <w:tcW w:w="466" w:type="pct"/>
                </w:tcPr>
                <w:p w14:paraId="3F3C2FA9" w14:textId="77777777" w:rsidR="008E0122" w:rsidRPr="003F341E" w:rsidRDefault="008E0122" w:rsidP="008E0122">
                  <w:pPr>
                    <w:rPr>
                      <w:sz w:val="22"/>
                      <w:szCs w:val="22"/>
                    </w:rPr>
                  </w:pPr>
                  <w:r w:rsidRPr="003F341E">
                    <w:rPr>
                      <w:sz w:val="22"/>
                      <w:szCs w:val="22"/>
                    </w:rPr>
                    <w:t>Com</w:t>
                  </w:r>
                </w:p>
              </w:tc>
              <w:tc>
                <w:tcPr>
                  <w:tcW w:w="806" w:type="pct"/>
                </w:tcPr>
                <w:p w14:paraId="02FD4B1A" w14:textId="77777777" w:rsidR="008E0122" w:rsidRPr="003F341E" w:rsidRDefault="008E0122" w:rsidP="008E0122">
                  <w:pPr>
                    <w:rPr>
                      <w:sz w:val="22"/>
                      <w:szCs w:val="22"/>
                    </w:rPr>
                  </w:pPr>
                  <w:r w:rsidRPr="003F341E">
                    <w:rPr>
                      <w:sz w:val="22"/>
                      <w:szCs w:val="22"/>
                    </w:rPr>
                    <w:t>SHW</w:t>
                  </w:r>
                </w:p>
              </w:tc>
              <w:tc>
                <w:tcPr>
                  <w:tcW w:w="770" w:type="pct"/>
                </w:tcPr>
                <w:p w14:paraId="4A36DCB7" w14:textId="77777777" w:rsidR="008E0122" w:rsidRPr="003F341E" w:rsidRDefault="008E0122" w:rsidP="008E0122">
                  <w:pPr>
                    <w:rPr>
                      <w:sz w:val="22"/>
                      <w:szCs w:val="22"/>
                    </w:rPr>
                  </w:pPr>
                  <w:r w:rsidRPr="003F341E">
                    <w:rPr>
                      <w:sz w:val="22"/>
                      <w:szCs w:val="22"/>
                    </w:rPr>
                    <w:t>20</w:t>
                  </w:r>
                </w:p>
              </w:tc>
              <w:tc>
                <w:tcPr>
                  <w:tcW w:w="751" w:type="pct"/>
                </w:tcPr>
                <w:p w14:paraId="35BE4222" w14:textId="77777777" w:rsidR="008E0122" w:rsidRPr="003F341E" w:rsidRDefault="008E0122" w:rsidP="008E0122">
                  <w:pPr>
                    <w:rPr>
                      <w:sz w:val="22"/>
                      <w:szCs w:val="22"/>
                    </w:rPr>
                  </w:pPr>
                  <w:r w:rsidRPr="003F341E">
                    <w:rPr>
                      <w:sz w:val="22"/>
                      <w:szCs w:val="22"/>
                    </w:rPr>
                    <w:t>6.67</w:t>
                  </w:r>
                </w:p>
              </w:tc>
            </w:tr>
            <w:tr w:rsidR="00504629" w:rsidRPr="003F341E" w14:paraId="4544BF9A" w14:textId="77777777" w:rsidTr="00504629">
              <w:trPr>
                <w:trHeight w:val="243"/>
              </w:trPr>
              <w:tc>
                <w:tcPr>
                  <w:tcW w:w="5000" w:type="pct"/>
                  <w:gridSpan w:val="6"/>
                </w:tcPr>
                <w:p w14:paraId="2F28A4BD" w14:textId="24DFE526" w:rsidR="00504629" w:rsidRPr="003F341E" w:rsidRDefault="00504629" w:rsidP="008E0122">
                  <w:pPr>
                    <w:rPr>
                      <w:sz w:val="22"/>
                      <w:szCs w:val="22"/>
                    </w:rPr>
                  </w:pPr>
                  <w:r w:rsidRPr="003F341E">
                    <w:rPr>
                      <w:rFonts w:cs="Arial"/>
                      <w:sz w:val="22"/>
                      <w:szCs w:val="22"/>
                    </w:rPr>
                    <w:t>Measure life = RUL of faucet = 6.67 years</w:t>
                  </w:r>
                </w:p>
              </w:tc>
            </w:tr>
          </w:tbl>
          <w:p w14:paraId="09D0CDB0" w14:textId="5437103B" w:rsidR="00CB11C9" w:rsidRPr="007D04D7" w:rsidRDefault="00CB11C9" w:rsidP="005B2619">
            <w:pPr>
              <w:rPr>
                <w:rFonts w:cs="Arial"/>
                <w:szCs w:val="22"/>
              </w:rPr>
            </w:pPr>
          </w:p>
        </w:tc>
      </w:tr>
      <w:tr w:rsidR="00843963" w14:paraId="1EAF63B8" w14:textId="77777777" w:rsidTr="008E0122">
        <w:tc>
          <w:tcPr>
            <w:tcW w:w="2303" w:type="dxa"/>
            <w:vAlign w:val="center"/>
          </w:tcPr>
          <w:p w14:paraId="0F28A9BF" w14:textId="5E7BDBEB" w:rsidR="00843963" w:rsidRPr="007D04D7" w:rsidRDefault="00843963" w:rsidP="005B2619">
            <w:pPr>
              <w:jc w:val="right"/>
              <w:rPr>
                <w:szCs w:val="22"/>
              </w:rPr>
            </w:pPr>
            <w:r>
              <w:rPr>
                <w:szCs w:val="22"/>
              </w:rPr>
              <w:t>Installation Rate (IR)</w:t>
            </w:r>
          </w:p>
        </w:tc>
        <w:tc>
          <w:tcPr>
            <w:tcW w:w="8767" w:type="dxa"/>
          </w:tcPr>
          <w:p w14:paraId="4198408E" w14:textId="02841B8B" w:rsidR="00843963" w:rsidRPr="003F341E" w:rsidRDefault="00843963" w:rsidP="00843963">
            <w:pPr>
              <w:pStyle w:val="Caption"/>
              <w:keepNext/>
              <w:jc w:val="center"/>
              <w:rPr>
                <w:szCs w:val="22"/>
              </w:rPr>
            </w:pPr>
            <w:r w:rsidRPr="003F341E">
              <w:rPr>
                <w:szCs w:val="22"/>
              </w:rPr>
              <w:t xml:space="preserve"> IR Values</w:t>
            </w:r>
          </w:p>
          <w:p w14:paraId="08F158D0" w14:textId="77777777" w:rsidR="00843963" w:rsidRPr="003F341E" w:rsidRDefault="00843963" w:rsidP="00843963">
            <w:pPr>
              <w:rPr>
                <w:szCs w:val="22"/>
              </w:rPr>
            </w:pPr>
          </w:p>
          <w:tbl>
            <w:tblPr>
              <w:tblStyle w:val="TableGrid1"/>
              <w:tblW w:w="4376" w:type="pct"/>
              <w:jc w:val="center"/>
              <w:tblLook w:val="01E0" w:firstRow="1" w:lastRow="1" w:firstColumn="1" w:lastColumn="1" w:noHBand="0" w:noVBand="0"/>
            </w:tblPr>
            <w:tblGrid>
              <w:gridCol w:w="934"/>
              <w:gridCol w:w="1954"/>
              <w:gridCol w:w="887"/>
              <w:gridCol w:w="1141"/>
              <w:gridCol w:w="1385"/>
              <w:gridCol w:w="1174"/>
            </w:tblGrid>
            <w:tr w:rsidR="00843963" w:rsidRPr="003F341E" w14:paraId="06432032" w14:textId="77777777" w:rsidTr="00843963">
              <w:trPr>
                <w:jc w:val="center"/>
              </w:trPr>
              <w:tc>
                <w:tcPr>
                  <w:tcW w:w="700" w:type="pct"/>
                  <w:shd w:val="clear" w:color="auto" w:fill="D9D9D9" w:themeFill="background1" w:themeFillShade="D9"/>
                </w:tcPr>
                <w:p w14:paraId="2DE8D325" w14:textId="77777777" w:rsidR="00843963" w:rsidRPr="003F341E" w:rsidRDefault="00843963" w:rsidP="00843963">
                  <w:pPr>
                    <w:rPr>
                      <w:rFonts w:cstheme="minorHAnsi"/>
                      <w:b/>
                      <w:sz w:val="22"/>
                      <w:szCs w:val="22"/>
                    </w:rPr>
                  </w:pPr>
                  <w:r w:rsidRPr="003F341E">
                    <w:rPr>
                      <w:rFonts w:cstheme="minorHAnsi"/>
                      <w:b/>
                      <w:sz w:val="22"/>
                      <w:szCs w:val="22"/>
                    </w:rPr>
                    <w:t>GSIA ID</w:t>
                  </w:r>
                </w:p>
              </w:tc>
              <w:tc>
                <w:tcPr>
                  <w:tcW w:w="1382" w:type="pct"/>
                  <w:shd w:val="clear" w:color="auto" w:fill="D9D9D9" w:themeFill="background1" w:themeFillShade="D9"/>
                </w:tcPr>
                <w:p w14:paraId="57F8F307" w14:textId="77777777" w:rsidR="00843963" w:rsidRPr="003F341E" w:rsidRDefault="00843963" w:rsidP="00843963">
                  <w:pPr>
                    <w:rPr>
                      <w:rFonts w:cstheme="minorHAnsi"/>
                      <w:b/>
                      <w:sz w:val="22"/>
                      <w:szCs w:val="22"/>
                    </w:rPr>
                  </w:pPr>
                  <w:r w:rsidRPr="003F341E">
                    <w:rPr>
                      <w:rFonts w:cstheme="minorHAnsi"/>
                      <w:b/>
                      <w:sz w:val="22"/>
                      <w:szCs w:val="22"/>
                    </w:rPr>
                    <w:t>Description</w:t>
                  </w:r>
                </w:p>
              </w:tc>
              <w:tc>
                <w:tcPr>
                  <w:tcW w:w="668" w:type="pct"/>
                  <w:shd w:val="clear" w:color="auto" w:fill="D9D9D9" w:themeFill="background1" w:themeFillShade="D9"/>
                </w:tcPr>
                <w:p w14:paraId="0490436A" w14:textId="77777777" w:rsidR="00843963" w:rsidRPr="003F341E" w:rsidRDefault="00843963" w:rsidP="00843963">
                  <w:pPr>
                    <w:rPr>
                      <w:rFonts w:cstheme="minorHAnsi"/>
                      <w:b/>
                      <w:sz w:val="22"/>
                      <w:szCs w:val="22"/>
                    </w:rPr>
                  </w:pPr>
                  <w:r w:rsidRPr="003F341E">
                    <w:rPr>
                      <w:rFonts w:cstheme="minorHAnsi"/>
                      <w:b/>
                      <w:sz w:val="22"/>
                      <w:szCs w:val="22"/>
                    </w:rPr>
                    <w:t>Sector</w:t>
                  </w:r>
                </w:p>
              </w:tc>
              <w:tc>
                <w:tcPr>
                  <w:tcW w:w="838" w:type="pct"/>
                  <w:shd w:val="clear" w:color="auto" w:fill="D9D9D9" w:themeFill="background1" w:themeFillShade="D9"/>
                </w:tcPr>
                <w:p w14:paraId="2D76F441" w14:textId="77777777" w:rsidR="00843963" w:rsidRPr="003F341E" w:rsidRDefault="00843963" w:rsidP="00843963">
                  <w:pPr>
                    <w:rPr>
                      <w:rFonts w:cstheme="minorHAnsi"/>
                      <w:b/>
                      <w:sz w:val="22"/>
                      <w:szCs w:val="22"/>
                    </w:rPr>
                  </w:pPr>
                  <w:r w:rsidRPr="003F341E">
                    <w:rPr>
                      <w:rFonts w:cstheme="minorHAnsi"/>
                      <w:b/>
                      <w:sz w:val="22"/>
                      <w:szCs w:val="22"/>
                    </w:rPr>
                    <w:t>BldgType</w:t>
                  </w:r>
                </w:p>
              </w:tc>
              <w:tc>
                <w:tcPr>
                  <w:tcW w:w="763" w:type="pct"/>
                  <w:shd w:val="clear" w:color="auto" w:fill="D9D9D9" w:themeFill="background1" w:themeFillShade="D9"/>
                </w:tcPr>
                <w:p w14:paraId="478524AD" w14:textId="77777777" w:rsidR="00843963" w:rsidRPr="003F341E" w:rsidRDefault="00843963" w:rsidP="00843963">
                  <w:pPr>
                    <w:rPr>
                      <w:rFonts w:cstheme="minorHAnsi"/>
                      <w:b/>
                      <w:sz w:val="22"/>
                      <w:szCs w:val="22"/>
                    </w:rPr>
                  </w:pPr>
                  <w:r w:rsidRPr="003F341E">
                    <w:rPr>
                      <w:rFonts w:cstheme="minorHAnsi"/>
                      <w:b/>
                      <w:sz w:val="22"/>
                      <w:szCs w:val="22"/>
                    </w:rPr>
                    <w:t>ProgDelivID</w:t>
                  </w:r>
                </w:p>
              </w:tc>
              <w:tc>
                <w:tcPr>
                  <w:tcW w:w="648" w:type="pct"/>
                  <w:shd w:val="clear" w:color="auto" w:fill="D9D9D9" w:themeFill="background1" w:themeFillShade="D9"/>
                </w:tcPr>
                <w:p w14:paraId="59DCCA20" w14:textId="77777777" w:rsidR="00843963" w:rsidRPr="003F341E" w:rsidRDefault="00843963" w:rsidP="00843963">
                  <w:pPr>
                    <w:rPr>
                      <w:rFonts w:cstheme="minorHAnsi"/>
                      <w:b/>
                      <w:sz w:val="22"/>
                      <w:szCs w:val="22"/>
                    </w:rPr>
                  </w:pPr>
                  <w:r w:rsidRPr="003F341E">
                    <w:rPr>
                      <w:rFonts w:cstheme="minorHAnsi"/>
                      <w:b/>
                      <w:sz w:val="22"/>
                      <w:szCs w:val="22"/>
                    </w:rPr>
                    <w:t>GSIAValue</w:t>
                  </w:r>
                </w:p>
              </w:tc>
            </w:tr>
            <w:tr w:rsidR="00843963" w:rsidRPr="003F341E" w14:paraId="19726BCC" w14:textId="77777777" w:rsidTr="00843963">
              <w:trPr>
                <w:jc w:val="center"/>
              </w:trPr>
              <w:tc>
                <w:tcPr>
                  <w:tcW w:w="700" w:type="pct"/>
                </w:tcPr>
                <w:p w14:paraId="5836C739" w14:textId="77777777" w:rsidR="00843963" w:rsidRPr="003F341E" w:rsidRDefault="00843963" w:rsidP="00843963">
                  <w:pPr>
                    <w:rPr>
                      <w:sz w:val="22"/>
                      <w:szCs w:val="22"/>
                    </w:rPr>
                  </w:pPr>
                  <w:r w:rsidRPr="003F341E">
                    <w:rPr>
                      <w:sz w:val="22"/>
                      <w:szCs w:val="22"/>
                    </w:rPr>
                    <w:t>Def-GSIA</w:t>
                  </w:r>
                </w:p>
              </w:tc>
              <w:tc>
                <w:tcPr>
                  <w:tcW w:w="1382" w:type="pct"/>
                </w:tcPr>
                <w:p w14:paraId="4885C43A" w14:textId="77777777" w:rsidR="00843963" w:rsidRPr="003F341E" w:rsidRDefault="00843963" w:rsidP="00843963">
                  <w:pPr>
                    <w:rPr>
                      <w:sz w:val="22"/>
                      <w:szCs w:val="22"/>
                    </w:rPr>
                  </w:pPr>
                  <w:r w:rsidRPr="003F341E">
                    <w:rPr>
                      <w:sz w:val="22"/>
                      <w:szCs w:val="22"/>
                    </w:rPr>
                    <w:t>Default GSIA values</w:t>
                  </w:r>
                </w:p>
              </w:tc>
              <w:tc>
                <w:tcPr>
                  <w:tcW w:w="668" w:type="pct"/>
                </w:tcPr>
                <w:p w14:paraId="4EC5BBD6" w14:textId="77777777" w:rsidR="00843963" w:rsidRPr="003F341E" w:rsidRDefault="00843963" w:rsidP="00843963">
                  <w:pPr>
                    <w:rPr>
                      <w:sz w:val="22"/>
                      <w:szCs w:val="22"/>
                    </w:rPr>
                  </w:pPr>
                  <w:r w:rsidRPr="003F341E">
                    <w:rPr>
                      <w:sz w:val="22"/>
                      <w:szCs w:val="22"/>
                    </w:rPr>
                    <w:t>Com</w:t>
                  </w:r>
                </w:p>
              </w:tc>
              <w:tc>
                <w:tcPr>
                  <w:tcW w:w="838" w:type="pct"/>
                </w:tcPr>
                <w:p w14:paraId="12C3E79F" w14:textId="77777777" w:rsidR="00843963" w:rsidRPr="003F341E" w:rsidRDefault="00843963" w:rsidP="00843963">
                  <w:pPr>
                    <w:rPr>
                      <w:sz w:val="22"/>
                      <w:szCs w:val="22"/>
                    </w:rPr>
                  </w:pPr>
                  <w:r w:rsidRPr="003F341E">
                    <w:rPr>
                      <w:sz w:val="22"/>
                      <w:szCs w:val="22"/>
                    </w:rPr>
                    <w:t>Cnc, Hsp, Nrs</w:t>
                  </w:r>
                </w:p>
              </w:tc>
              <w:tc>
                <w:tcPr>
                  <w:tcW w:w="763" w:type="pct"/>
                </w:tcPr>
                <w:p w14:paraId="0099814D" w14:textId="77777777" w:rsidR="00843963" w:rsidRPr="003F341E" w:rsidRDefault="00843963" w:rsidP="00843963">
                  <w:pPr>
                    <w:rPr>
                      <w:color w:val="FF0000"/>
                      <w:sz w:val="22"/>
                      <w:szCs w:val="22"/>
                    </w:rPr>
                  </w:pPr>
                  <w:r w:rsidRPr="003F341E">
                    <w:rPr>
                      <w:sz w:val="22"/>
                      <w:szCs w:val="22"/>
                    </w:rPr>
                    <w:t>PreRebDI, PreRebDown</w:t>
                  </w:r>
                </w:p>
              </w:tc>
              <w:tc>
                <w:tcPr>
                  <w:tcW w:w="648" w:type="pct"/>
                </w:tcPr>
                <w:p w14:paraId="1C0225D7" w14:textId="77777777" w:rsidR="00843963" w:rsidRPr="003F341E" w:rsidRDefault="00843963" w:rsidP="00843963">
                  <w:pPr>
                    <w:rPr>
                      <w:color w:val="FF0000"/>
                      <w:sz w:val="22"/>
                      <w:szCs w:val="22"/>
                    </w:rPr>
                  </w:pPr>
                  <w:r w:rsidRPr="003F341E">
                    <w:rPr>
                      <w:sz w:val="22"/>
                      <w:szCs w:val="22"/>
                    </w:rPr>
                    <w:t>1</w:t>
                  </w:r>
                </w:p>
              </w:tc>
            </w:tr>
          </w:tbl>
          <w:p w14:paraId="2604BC0F" w14:textId="66587D23" w:rsidR="00843963" w:rsidRPr="00843963" w:rsidRDefault="00843963" w:rsidP="00843963"/>
        </w:tc>
      </w:tr>
      <w:tr w:rsidR="00CB11C9" w14:paraId="1AAF5F25" w14:textId="77777777" w:rsidTr="008E0122">
        <w:tc>
          <w:tcPr>
            <w:tcW w:w="2303" w:type="dxa"/>
            <w:vAlign w:val="center"/>
          </w:tcPr>
          <w:p w14:paraId="38B18FD2" w14:textId="38294B98" w:rsidR="00CB11C9" w:rsidRDefault="00CB11C9" w:rsidP="005B2619">
            <w:pPr>
              <w:rPr>
                <w:b/>
              </w:rPr>
            </w:pPr>
            <w:r w:rsidRPr="001D77F7">
              <w:rPr>
                <w:b/>
              </w:rPr>
              <w:t>Section 2. Calculation Methodology</w:t>
            </w:r>
          </w:p>
          <w:p w14:paraId="2345CADB" w14:textId="77777777" w:rsidR="008E0122" w:rsidRDefault="008E0122" w:rsidP="005B2619">
            <w:pPr>
              <w:rPr>
                <w:b/>
              </w:rPr>
            </w:pPr>
          </w:p>
          <w:p w14:paraId="16B215EE" w14:textId="67B04615" w:rsidR="008E0122" w:rsidRPr="001D77F7" w:rsidRDefault="008E0122" w:rsidP="005B2619">
            <w:pPr>
              <w:rPr>
                <w:b/>
              </w:rPr>
            </w:pPr>
            <w:r>
              <w:rPr>
                <w:b/>
              </w:rPr>
              <w:t>(as cited per WPSCGNRWH161222A Rev0)</w:t>
            </w:r>
          </w:p>
        </w:tc>
        <w:tc>
          <w:tcPr>
            <w:tcW w:w="8767" w:type="dxa"/>
            <w:vAlign w:val="center"/>
          </w:tcPr>
          <w:p w14:paraId="653CCFC9" w14:textId="23FB4FCC" w:rsidR="005F6886" w:rsidRPr="00FA1D3D" w:rsidRDefault="00186BBB" w:rsidP="00FA1D3D">
            <w:pPr>
              <w:pStyle w:val="ListParagraph"/>
              <w:numPr>
                <w:ilvl w:val="0"/>
                <w:numId w:val="32"/>
              </w:numPr>
              <w:rPr>
                <w:rFonts w:cstheme="minorHAnsi"/>
              </w:rPr>
            </w:pP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 xml:space="preserve">faucet </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Faucet Load</m:t>
                  </m:r>
                </m:e>
                <m:sub>
                  <m:r>
                    <w:rPr>
                      <w:rFonts w:ascii="Cambria Math" w:eastAsiaTheme="minorEastAsia" w:hAnsi="Cambria Math"/>
                    </w:rPr>
                    <m:t>existing</m:t>
                  </m:r>
                </m:sub>
              </m:sSub>
            </m:oMath>
          </w:p>
          <w:p w14:paraId="423707D2" w14:textId="2116EF6E" w:rsidR="005F6886" w:rsidRPr="00FA1D3D" w:rsidRDefault="00186BBB" w:rsidP="00FA1D3D">
            <w:pPr>
              <w:pStyle w:val="ListParagraph"/>
              <w:numPr>
                <w:ilvl w:val="0"/>
                <w:numId w:val="32"/>
              </w:numPr>
              <w:rPr>
                <w:rFonts w:cstheme="minorHAnsi"/>
              </w:rPr>
            </w:pP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 xml:space="preserve">LFR </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Faucet Load</m:t>
                  </m:r>
                </m:e>
                <m:sub>
                  <m:r>
                    <w:rPr>
                      <w:rFonts w:ascii="Cambria Math" w:eastAsiaTheme="minorEastAsia" w:hAnsi="Cambria Math"/>
                    </w:rPr>
                    <m:t xml:space="preserve">proposed </m:t>
                  </m:r>
                </m:sub>
              </m:sSub>
            </m:oMath>
          </w:p>
          <w:p w14:paraId="07EC1EEA" w14:textId="6932A34D" w:rsidR="005F6886" w:rsidRPr="00FA1D3D" w:rsidRDefault="00186BBB" w:rsidP="00FA1D3D">
            <w:pPr>
              <w:pStyle w:val="ListParagraph"/>
              <w:numPr>
                <w:ilvl w:val="0"/>
                <w:numId w:val="32"/>
              </w:numPr>
              <w:rPr>
                <w:rFonts w:cstheme="minorHAnsi"/>
              </w:rPr>
            </w:pP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net</m:t>
                  </m:r>
                </m:sub>
              </m:sSub>
              <m:r>
                <w:rPr>
                  <w:rFonts w:ascii="Cambria Math" w:eastAsiaTheme="minorEastAsia" w:hAnsi="Cambria Math"/>
                </w:rPr>
                <m:t>=</m:t>
              </m:r>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faucet</m:t>
                  </m:r>
                </m:sub>
              </m:sSub>
              <m:r>
                <w:rPr>
                  <w:rFonts w:ascii="Cambria Math" w:eastAsiaTheme="minorEastAsia" w:hAnsi="Cambria Math"/>
                </w:rPr>
                <m:t>-</m:t>
              </m:r>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LFR</m:t>
                  </m:r>
                </m:sub>
              </m:sSub>
            </m:oMath>
          </w:p>
          <w:p w14:paraId="56AFBC61" w14:textId="00D2568C" w:rsidR="00197CFA" w:rsidRDefault="00197CFA" w:rsidP="00490B28">
            <w:pPr>
              <w:pStyle w:val="ListParagraph"/>
              <w:ind w:left="1080"/>
              <w:rPr>
                <w:rFonts w:cstheme="minorHAnsi"/>
              </w:rPr>
            </w:pPr>
          </w:p>
          <w:p w14:paraId="204EF8C7" w14:textId="793F52DE" w:rsidR="00490B28" w:rsidRPr="003F341E" w:rsidRDefault="00490B28" w:rsidP="00490B28">
            <w:pPr>
              <w:pStyle w:val="ListParagraph"/>
              <w:ind w:left="1080"/>
              <w:rPr>
                <w:rFonts w:cstheme="minorHAnsi"/>
                <w:sz w:val="20"/>
                <w:szCs w:val="20"/>
              </w:rPr>
            </w:pPr>
            <w:r w:rsidRPr="003F341E">
              <w:rPr>
                <w:rFonts w:cstheme="minorHAnsi"/>
                <w:sz w:val="20"/>
                <w:szCs w:val="20"/>
              </w:rPr>
              <w:t xml:space="preserve">Sample Measure Savings (refer to attached SDGE Ex-ante database </w:t>
            </w:r>
            <w:r w:rsidR="00FA1D3D" w:rsidRPr="003F341E">
              <w:rPr>
                <w:rFonts w:cstheme="minorHAnsi"/>
                <w:sz w:val="20"/>
                <w:szCs w:val="20"/>
              </w:rPr>
              <w:t>tables for a complete list of measures and impacts)</w:t>
            </w:r>
          </w:p>
          <w:tbl>
            <w:tblPr>
              <w:tblStyle w:val="TableGrid"/>
              <w:tblW w:w="0" w:type="auto"/>
              <w:tblLook w:val="04A0" w:firstRow="1" w:lastRow="0" w:firstColumn="1" w:lastColumn="0" w:noHBand="0" w:noVBand="1"/>
            </w:tblPr>
            <w:tblGrid>
              <w:gridCol w:w="2710"/>
              <w:gridCol w:w="1350"/>
              <w:gridCol w:w="1260"/>
              <w:gridCol w:w="1440"/>
              <w:gridCol w:w="1530"/>
            </w:tblGrid>
            <w:tr w:rsidR="00490B28" w:rsidRPr="003F341E" w14:paraId="58490049" w14:textId="77777777" w:rsidTr="00490B28">
              <w:tc>
                <w:tcPr>
                  <w:tcW w:w="2710" w:type="dxa"/>
                </w:tcPr>
                <w:p w14:paraId="205BCBEA" w14:textId="7DE6ABEF" w:rsidR="00490B28" w:rsidRPr="003F341E" w:rsidRDefault="00490B28" w:rsidP="005F6886">
                  <w:pPr>
                    <w:pStyle w:val="Caption"/>
                    <w:keepNext/>
                    <w:rPr>
                      <w:rFonts w:cs="Arial"/>
                      <w:sz w:val="20"/>
                      <w:szCs w:val="20"/>
                    </w:rPr>
                  </w:pPr>
                  <w:r w:rsidRPr="003F341E">
                    <w:rPr>
                      <w:rFonts w:cs="Arial"/>
                      <w:sz w:val="20"/>
                      <w:szCs w:val="20"/>
                    </w:rPr>
                    <w:t>Measure Description</w:t>
                  </w:r>
                </w:p>
              </w:tc>
              <w:tc>
                <w:tcPr>
                  <w:tcW w:w="1350" w:type="dxa"/>
                </w:tcPr>
                <w:p w14:paraId="3A4C4690" w14:textId="7D4A2434" w:rsidR="00490B28" w:rsidRPr="003F341E" w:rsidRDefault="00490B28" w:rsidP="005F6886">
                  <w:pPr>
                    <w:pStyle w:val="Caption"/>
                    <w:keepNext/>
                    <w:rPr>
                      <w:rFonts w:cs="Arial"/>
                      <w:sz w:val="20"/>
                      <w:szCs w:val="20"/>
                    </w:rPr>
                  </w:pPr>
                  <w:r w:rsidRPr="003F341E">
                    <w:rPr>
                      <w:rFonts w:cs="Arial"/>
                      <w:sz w:val="20"/>
                      <w:szCs w:val="20"/>
                    </w:rPr>
                    <w:t>Climate Zone</w:t>
                  </w:r>
                </w:p>
              </w:tc>
              <w:tc>
                <w:tcPr>
                  <w:tcW w:w="1260" w:type="dxa"/>
                </w:tcPr>
                <w:p w14:paraId="1B3BC47A" w14:textId="66571773" w:rsidR="00490B28" w:rsidRPr="003F341E" w:rsidRDefault="00490B28" w:rsidP="005F6886">
                  <w:pPr>
                    <w:pStyle w:val="Caption"/>
                    <w:keepNext/>
                    <w:rPr>
                      <w:rFonts w:cs="Arial"/>
                      <w:sz w:val="20"/>
                      <w:szCs w:val="20"/>
                    </w:rPr>
                  </w:pPr>
                  <w:r w:rsidRPr="003F341E">
                    <w:rPr>
                      <w:rFonts w:cs="Arial"/>
                      <w:sz w:val="20"/>
                      <w:szCs w:val="20"/>
                    </w:rPr>
                    <w:t>Building Type</w:t>
                  </w:r>
                </w:p>
              </w:tc>
              <w:tc>
                <w:tcPr>
                  <w:tcW w:w="1440" w:type="dxa"/>
                </w:tcPr>
                <w:p w14:paraId="5EED3EB5" w14:textId="5E3CAD03" w:rsidR="00490B28" w:rsidRPr="003F341E" w:rsidRDefault="00490B28" w:rsidP="005F6886">
                  <w:pPr>
                    <w:pStyle w:val="Caption"/>
                    <w:keepNext/>
                    <w:rPr>
                      <w:rFonts w:cs="Arial"/>
                      <w:sz w:val="20"/>
                      <w:szCs w:val="20"/>
                    </w:rPr>
                  </w:pPr>
                  <w:r w:rsidRPr="003F341E">
                    <w:rPr>
                      <w:rFonts w:cs="Arial"/>
                      <w:sz w:val="20"/>
                      <w:szCs w:val="20"/>
                    </w:rPr>
                    <w:t>Therm savings</w:t>
                  </w:r>
                </w:p>
              </w:tc>
              <w:tc>
                <w:tcPr>
                  <w:tcW w:w="1530" w:type="dxa"/>
                </w:tcPr>
                <w:p w14:paraId="4E8B7D0B" w14:textId="4563F05C" w:rsidR="00490B28" w:rsidRPr="003F341E" w:rsidRDefault="00490B28" w:rsidP="005F6886">
                  <w:pPr>
                    <w:pStyle w:val="Caption"/>
                    <w:keepNext/>
                    <w:rPr>
                      <w:rFonts w:cs="Arial"/>
                      <w:sz w:val="20"/>
                      <w:szCs w:val="20"/>
                    </w:rPr>
                  </w:pPr>
                  <w:r w:rsidRPr="003F341E">
                    <w:rPr>
                      <w:rFonts w:cs="Arial"/>
                      <w:sz w:val="20"/>
                      <w:szCs w:val="20"/>
                    </w:rPr>
                    <w:t>Water savings -gallons- annual</w:t>
                  </w:r>
                </w:p>
              </w:tc>
            </w:tr>
            <w:tr w:rsidR="00490B28" w:rsidRPr="003F341E" w14:paraId="405478D7" w14:textId="77777777" w:rsidTr="00490B28">
              <w:tc>
                <w:tcPr>
                  <w:tcW w:w="2710" w:type="dxa"/>
                  <w:vMerge w:val="restart"/>
                </w:tcPr>
                <w:p w14:paraId="2652064D" w14:textId="77777777" w:rsidR="00490B28" w:rsidRPr="003F341E" w:rsidRDefault="00490B28" w:rsidP="005F6886">
                  <w:pPr>
                    <w:pStyle w:val="Caption"/>
                    <w:keepNext/>
                    <w:rPr>
                      <w:rFonts w:cs="Arial"/>
                      <w:sz w:val="20"/>
                      <w:szCs w:val="20"/>
                    </w:rPr>
                  </w:pPr>
                  <w:r w:rsidRPr="003F341E">
                    <w:rPr>
                      <w:rFonts w:cs="Arial"/>
                      <w:sz w:val="20"/>
                      <w:szCs w:val="20"/>
                    </w:rPr>
                    <w:lastRenderedPageBreak/>
                    <w:t>Laminar Flow Restrictor for Health Care Facilities - 0.5 GPM Flow Rate</w:t>
                  </w:r>
                </w:p>
                <w:p w14:paraId="52B155B7" w14:textId="77777777" w:rsidR="00490B28" w:rsidRPr="003F341E" w:rsidRDefault="00490B28" w:rsidP="005F6886">
                  <w:pPr>
                    <w:pStyle w:val="Caption"/>
                    <w:keepNext/>
                    <w:rPr>
                      <w:rFonts w:cs="Arial"/>
                      <w:sz w:val="20"/>
                      <w:szCs w:val="20"/>
                    </w:rPr>
                  </w:pPr>
                </w:p>
                <w:p w14:paraId="1392CAC7" w14:textId="783224D8" w:rsidR="00490B28" w:rsidRPr="003F341E" w:rsidRDefault="00490B28" w:rsidP="005F6886">
                  <w:pPr>
                    <w:pStyle w:val="Caption"/>
                    <w:keepNext/>
                    <w:rPr>
                      <w:rFonts w:cs="Arial"/>
                      <w:sz w:val="20"/>
                      <w:szCs w:val="20"/>
                    </w:rPr>
                  </w:pPr>
                </w:p>
              </w:tc>
              <w:tc>
                <w:tcPr>
                  <w:tcW w:w="1350" w:type="dxa"/>
                </w:tcPr>
                <w:p w14:paraId="039CE2F0" w14:textId="61018D33" w:rsidR="00490B28" w:rsidRPr="003F341E" w:rsidRDefault="00490B28" w:rsidP="005F6886">
                  <w:pPr>
                    <w:pStyle w:val="Caption"/>
                    <w:keepNext/>
                    <w:rPr>
                      <w:rFonts w:cs="Arial"/>
                      <w:sz w:val="20"/>
                      <w:szCs w:val="20"/>
                    </w:rPr>
                  </w:pPr>
                  <w:r w:rsidRPr="003F341E">
                    <w:rPr>
                      <w:rFonts w:cs="Arial"/>
                      <w:sz w:val="20"/>
                      <w:szCs w:val="20"/>
                    </w:rPr>
                    <w:t>07</w:t>
                  </w:r>
                </w:p>
              </w:tc>
              <w:tc>
                <w:tcPr>
                  <w:tcW w:w="1260" w:type="dxa"/>
                </w:tcPr>
                <w:p w14:paraId="34BAD2AD" w14:textId="3C895477" w:rsidR="00490B28" w:rsidRPr="003F341E" w:rsidRDefault="00490B28" w:rsidP="005F6886">
                  <w:pPr>
                    <w:pStyle w:val="Caption"/>
                    <w:keepNext/>
                    <w:rPr>
                      <w:rFonts w:cs="Arial"/>
                      <w:sz w:val="20"/>
                      <w:szCs w:val="20"/>
                    </w:rPr>
                  </w:pPr>
                  <w:r w:rsidRPr="003F341E">
                    <w:rPr>
                      <w:rFonts w:cs="Arial"/>
                      <w:sz w:val="20"/>
                      <w:szCs w:val="20"/>
                    </w:rPr>
                    <w:t>Cnc</w:t>
                  </w:r>
                </w:p>
              </w:tc>
              <w:tc>
                <w:tcPr>
                  <w:tcW w:w="1440" w:type="dxa"/>
                </w:tcPr>
                <w:p w14:paraId="7E31073E" w14:textId="701E17B5" w:rsidR="00490B28" w:rsidRPr="003F341E" w:rsidRDefault="00490B28" w:rsidP="005F6886">
                  <w:pPr>
                    <w:pStyle w:val="Caption"/>
                    <w:keepNext/>
                    <w:rPr>
                      <w:rFonts w:cs="Arial"/>
                      <w:sz w:val="20"/>
                      <w:szCs w:val="20"/>
                    </w:rPr>
                  </w:pPr>
                  <w:r w:rsidRPr="003F341E">
                    <w:rPr>
                      <w:rFonts w:cs="Arial"/>
                      <w:sz w:val="20"/>
                      <w:szCs w:val="20"/>
                    </w:rPr>
                    <w:t>25.24</w:t>
                  </w:r>
                </w:p>
              </w:tc>
              <w:tc>
                <w:tcPr>
                  <w:tcW w:w="1530" w:type="dxa"/>
                </w:tcPr>
                <w:p w14:paraId="39EFD1E8" w14:textId="7C5D389E" w:rsidR="00490B28" w:rsidRPr="003F341E" w:rsidRDefault="00490B28" w:rsidP="005F6886">
                  <w:pPr>
                    <w:pStyle w:val="Caption"/>
                    <w:keepNext/>
                    <w:rPr>
                      <w:rFonts w:cs="Arial"/>
                      <w:sz w:val="20"/>
                      <w:szCs w:val="20"/>
                    </w:rPr>
                  </w:pPr>
                  <w:r w:rsidRPr="003F341E">
                    <w:rPr>
                      <w:rFonts w:cs="Arial"/>
                      <w:sz w:val="20"/>
                      <w:szCs w:val="20"/>
                    </w:rPr>
                    <w:t>5425</w:t>
                  </w:r>
                </w:p>
              </w:tc>
            </w:tr>
            <w:tr w:rsidR="00490B28" w:rsidRPr="003F341E" w14:paraId="6E65BF88" w14:textId="77777777" w:rsidTr="00490B28">
              <w:tc>
                <w:tcPr>
                  <w:tcW w:w="2710" w:type="dxa"/>
                  <w:vMerge/>
                </w:tcPr>
                <w:p w14:paraId="425CC479" w14:textId="031BB8F3" w:rsidR="00490B28" w:rsidRPr="003F341E" w:rsidRDefault="00490B28" w:rsidP="005F6886">
                  <w:pPr>
                    <w:pStyle w:val="Caption"/>
                    <w:keepNext/>
                    <w:rPr>
                      <w:rFonts w:cs="Arial"/>
                      <w:sz w:val="20"/>
                      <w:szCs w:val="20"/>
                    </w:rPr>
                  </w:pPr>
                </w:p>
              </w:tc>
              <w:tc>
                <w:tcPr>
                  <w:tcW w:w="1350" w:type="dxa"/>
                </w:tcPr>
                <w:p w14:paraId="03AC957E" w14:textId="37FB64F4" w:rsidR="00490B28" w:rsidRPr="003F341E" w:rsidRDefault="00490B28" w:rsidP="005F6886">
                  <w:pPr>
                    <w:pStyle w:val="Caption"/>
                    <w:keepNext/>
                    <w:rPr>
                      <w:rFonts w:cs="Arial"/>
                      <w:sz w:val="20"/>
                      <w:szCs w:val="20"/>
                    </w:rPr>
                  </w:pPr>
                  <w:r w:rsidRPr="003F341E">
                    <w:rPr>
                      <w:rFonts w:cs="Arial"/>
                      <w:sz w:val="20"/>
                      <w:szCs w:val="20"/>
                    </w:rPr>
                    <w:t>07</w:t>
                  </w:r>
                </w:p>
              </w:tc>
              <w:tc>
                <w:tcPr>
                  <w:tcW w:w="1260" w:type="dxa"/>
                </w:tcPr>
                <w:p w14:paraId="0EEFBDE5" w14:textId="0FB701C2" w:rsidR="00490B28" w:rsidRPr="003F341E" w:rsidRDefault="00490B28" w:rsidP="005F6886">
                  <w:pPr>
                    <w:pStyle w:val="Caption"/>
                    <w:keepNext/>
                    <w:rPr>
                      <w:rFonts w:cs="Arial"/>
                      <w:sz w:val="20"/>
                      <w:szCs w:val="20"/>
                    </w:rPr>
                  </w:pPr>
                  <w:r w:rsidRPr="003F341E">
                    <w:rPr>
                      <w:rFonts w:cs="Arial"/>
                      <w:sz w:val="20"/>
                      <w:szCs w:val="20"/>
                    </w:rPr>
                    <w:t>Hsp</w:t>
                  </w:r>
                </w:p>
              </w:tc>
              <w:tc>
                <w:tcPr>
                  <w:tcW w:w="1440" w:type="dxa"/>
                </w:tcPr>
                <w:p w14:paraId="1E54B9BC" w14:textId="21F0077E" w:rsidR="00490B28" w:rsidRPr="003F341E" w:rsidRDefault="00490B28" w:rsidP="005F6886">
                  <w:pPr>
                    <w:pStyle w:val="Caption"/>
                    <w:keepNext/>
                    <w:rPr>
                      <w:rFonts w:cs="Arial"/>
                      <w:sz w:val="20"/>
                      <w:szCs w:val="20"/>
                    </w:rPr>
                  </w:pPr>
                  <w:r w:rsidRPr="003F341E">
                    <w:rPr>
                      <w:rFonts w:cs="Arial"/>
                      <w:sz w:val="20"/>
                      <w:szCs w:val="20"/>
                    </w:rPr>
                    <w:t>25.24</w:t>
                  </w:r>
                </w:p>
              </w:tc>
              <w:tc>
                <w:tcPr>
                  <w:tcW w:w="1530" w:type="dxa"/>
                </w:tcPr>
                <w:p w14:paraId="336615F9" w14:textId="0780AB74" w:rsidR="00490B28" w:rsidRPr="003F341E" w:rsidRDefault="00490B28" w:rsidP="005F6886">
                  <w:pPr>
                    <w:pStyle w:val="Caption"/>
                    <w:keepNext/>
                    <w:rPr>
                      <w:rFonts w:cs="Arial"/>
                      <w:sz w:val="20"/>
                      <w:szCs w:val="20"/>
                    </w:rPr>
                  </w:pPr>
                  <w:r w:rsidRPr="003F341E">
                    <w:rPr>
                      <w:rFonts w:cs="Arial"/>
                      <w:sz w:val="20"/>
                      <w:szCs w:val="20"/>
                    </w:rPr>
                    <w:t>5425</w:t>
                  </w:r>
                </w:p>
              </w:tc>
            </w:tr>
            <w:tr w:rsidR="00490B28" w:rsidRPr="003F341E" w14:paraId="69224241" w14:textId="77777777" w:rsidTr="00490B28">
              <w:tc>
                <w:tcPr>
                  <w:tcW w:w="2710" w:type="dxa"/>
                  <w:vMerge/>
                </w:tcPr>
                <w:p w14:paraId="45D57B82" w14:textId="6B82A86A" w:rsidR="00490B28" w:rsidRPr="003F341E" w:rsidRDefault="00490B28" w:rsidP="005F6886">
                  <w:pPr>
                    <w:pStyle w:val="Caption"/>
                    <w:keepNext/>
                    <w:rPr>
                      <w:rFonts w:cs="Arial"/>
                      <w:sz w:val="20"/>
                      <w:szCs w:val="20"/>
                    </w:rPr>
                  </w:pPr>
                </w:p>
              </w:tc>
              <w:tc>
                <w:tcPr>
                  <w:tcW w:w="1350" w:type="dxa"/>
                </w:tcPr>
                <w:p w14:paraId="5071A896" w14:textId="62071C4C" w:rsidR="00490B28" w:rsidRPr="003F341E" w:rsidRDefault="00490B28" w:rsidP="005F6886">
                  <w:pPr>
                    <w:pStyle w:val="Caption"/>
                    <w:keepNext/>
                    <w:rPr>
                      <w:rFonts w:cs="Arial"/>
                      <w:sz w:val="20"/>
                      <w:szCs w:val="20"/>
                    </w:rPr>
                  </w:pPr>
                  <w:r w:rsidRPr="003F341E">
                    <w:rPr>
                      <w:rFonts w:cs="Arial"/>
                      <w:sz w:val="20"/>
                      <w:szCs w:val="20"/>
                    </w:rPr>
                    <w:t>07</w:t>
                  </w:r>
                </w:p>
              </w:tc>
              <w:tc>
                <w:tcPr>
                  <w:tcW w:w="1260" w:type="dxa"/>
                </w:tcPr>
                <w:p w14:paraId="335D56CA" w14:textId="7222D404" w:rsidR="00490B28" w:rsidRPr="003F341E" w:rsidRDefault="00490B28" w:rsidP="005F6886">
                  <w:pPr>
                    <w:pStyle w:val="Caption"/>
                    <w:keepNext/>
                    <w:rPr>
                      <w:rFonts w:cs="Arial"/>
                      <w:sz w:val="20"/>
                      <w:szCs w:val="20"/>
                    </w:rPr>
                  </w:pPr>
                  <w:r w:rsidRPr="003F341E">
                    <w:rPr>
                      <w:rFonts w:cs="Arial"/>
                      <w:sz w:val="20"/>
                      <w:szCs w:val="20"/>
                    </w:rPr>
                    <w:t>Nrs</w:t>
                  </w:r>
                </w:p>
              </w:tc>
              <w:tc>
                <w:tcPr>
                  <w:tcW w:w="1440" w:type="dxa"/>
                </w:tcPr>
                <w:p w14:paraId="1ED74420" w14:textId="0D80C84B" w:rsidR="00490B28" w:rsidRPr="003F341E" w:rsidRDefault="00490B28" w:rsidP="005F6886">
                  <w:pPr>
                    <w:pStyle w:val="Caption"/>
                    <w:keepNext/>
                    <w:rPr>
                      <w:rFonts w:cs="Arial"/>
                      <w:sz w:val="20"/>
                      <w:szCs w:val="20"/>
                    </w:rPr>
                  </w:pPr>
                  <w:r w:rsidRPr="003F341E">
                    <w:rPr>
                      <w:rFonts w:cs="Arial"/>
                      <w:sz w:val="20"/>
                      <w:szCs w:val="20"/>
                    </w:rPr>
                    <w:t>25.24</w:t>
                  </w:r>
                </w:p>
              </w:tc>
              <w:tc>
                <w:tcPr>
                  <w:tcW w:w="1530" w:type="dxa"/>
                </w:tcPr>
                <w:p w14:paraId="435D30B4" w14:textId="022AB6D1" w:rsidR="00490B28" w:rsidRPr="003F341E" w:rsidRDefault="00490B28" w:rsidP="005F6886">
                  <w:pPr>
                    <w:pStyle w:val="Caption"/>
                    <w:keepNext/>
                    <w:rPr>
                      <w:rFonts w:cs="Arial"/>
                      <w:sz w:val="20"/>
                      <w:szCs w:val="20"/>
                    </w:rPr>
                  </w:pPr>
                  <w:r w:rsidRPr="003F341E">
                    <w:rPr>
                      <w:rFonts w:cs="Arial"/>
                      <w:sz w:val="20"/>
                      <w:szCs w:val="20"/>
                    </w:rPr>
                    <w:t>5425</w:t>
                  </w:r>
                </w:p>
              </w:tc>
            </w:tr>
          </w:tbl>
          <w:p w14:paraId="20EF62D6" w14:textId="6CD1A96A" w:rsidR="00CB11C9" w:rsidRPr="00CF0DA9" w:rsidRDefault="00CB11C9" w:rsidP="000F5531">
            <w:pPr>
              <w:rPr>
                <w:rFonts w:cs="Arial"/>
                <w:sz w:val="20"/>
                <w:szCs w:val="20"/>
              </w:rPr>
            </w:pPr>
          </w:p>
        </w:tc>
      </w:tr>
      <w:tr w:rsidR="00CB11C9" w14:paraId="2ED6E4F8" w14:textId="77777777" w:rsidTr="008E0122">
        <w:tc>
          <w:tcPr>
            <w:tcW w:w="2303" w:type="dxa"/>
            <w:vAlign w:val="center"/>
          </w:tcPr>
          <w:p w14:paraId="31EC274C" w14:textId="77777777" w:rsidR="00CB11C9" w:rsidRPr="001D77F7" w:rsidRDefault="00CB11C9" w:rsidP="005B2619">
            <w:pPr>
              <w:rPr>
                <w:b/>
              </w:rPr>
            </w:pPr>
            <w:r w:rsidRPr="001D77F7">
              <w:rPr>
                <w:b/>
              </w:rPr>
              <w:lastRenderedPageBreak/>
              <w:t>Section 3. Load Shapes</w:t>
            </w:r>
          </w:p>
        </w:tc>
        <w:tc>
          <w:tcPr>
            <w:tcW w:w="8767" w:type="dxa"/>
          </w:tcPr>
          <w:p w14:paraId="4BAC5F75" w14:textId="021812F3" w:rsidR="00CB11C9" w:rsidRPr="007D04D7" w:rsidRDefault="00F67972" w:rsidP="005B2619">
            <w:pPr>
              <w:rPr>
                <w:rFonts w:cs="Arial"/>
                <w:szCs w:val="22"/>
              </w:rPr>
            </w:pPr>
            <w:r w:rsidRPr="007D04D7">
              <w:rPr>
                <w:rFonts w:cs="Arial"/>
                <w:szCs w:val="22"/>
              </w:rPr>
              <w:t>SDGE:</w:t>
            </w:r>
            <w:r w:rsidR="00CF0DA9" w:rsidRPr="007D04D7">
              <w:rPr>
                <w:rFonts w:cs="Arial"/>
                <w:szCs w:val="22"/>
              </w:rPr>
              <w:t>35-OTI-Otherindustrial-PROC OTH</w:t>
            </w:r>
          </w:p>
        </w:tc>
      </w:tr>
      <w:tr w:rsidR="00CB11C9" w14:paraId="3A96E54E" w14:textId="77777777" w:rsidTr="008E0122">
        <w:tc>
          <w:tcPr>
            <w:tcW w:w="2303" w:type="dxa"/>
            <w:vAlign w:val="center"/>
          </w:tcPr>
          <w:p w14:paraId="051AD34B" w14:textId="77777777" w:rsidR="00CB11C9" w:rsidRPr="001D77F7" w:rsidRDefault="00CB11C9" w:rsidP="005B2619">
            <w:pPr>
              <w:rPr>
                <w:b/>
              </w:rPr>
            </w:pPr>
            <w:r w:rsidRPr="001D77F7">
              <w:rPr>
                <w:b/>
              </w:rPr>
              <w:t>Section 4. Costs</w:t>
            </w:r>
          </w:p>
        </w:tc>
        <w:tc>
          <w:tcPr>
            <w:tcW w:w="8767" w:type="dxa"/>
          </w:tcPr>
          <w:p w14:paraId="71288583" w14:textId="77777777" w:rsidR="00CB11C9" w:rsidRPr="00476F40" w:rsidRDefault="00CB11C9" w:rsidP="005B2619">
            <w:pPr>
              <w:rPr>
                <w:rFonts w:cs="Arial"/>
                <w:sz w:val="20"/>
                <w:szCs w:val="20"/>
              </w:rPr>
            </w:pPr>
          </w:p>
        </w:tc>
      </w:tr>
      <w:tr w:rsidR="00CB11C9" w14:paraId="26BD96F6" w14:textId="77777777" w:rsidTr="008E0122">
        <w:tc>
          <w:tcPr>
            <w:tcW w:w="2303" w:type="dxa"/>
          </w:tcPr>
          <w:p w14:paraId="49E7BEC5" w14:textId="1ED32D32" w:rsidR="00CB11C9" w:rsidRPr="007D04D7" w:rsidRDefault="00870D6A" w:rsidP="005B2619">
            <w:pPr>
              <w:jc w:val="right"/>
              <w:rPr>
                <w:szCs w:val="22"/>
              </w:rPr>
            </w:pPr>
            <w:r w:rsidRPr="007D04D7">
              <w:rPr>
                <w:szCs w:val="22"/>
              </w:rPr>
              <w:t>Base Case Cost</w:t>
            </w:r>
          </w:p>
        </w:tc>
        <w:tc>
          <w:tcPr>
            <w:tcW w:w="8767" w:type="dxa"/>
          </w:tcPr>
          <w:p w14:paraId="12102D16" w14:textId="77777777" w:rsidR="00870D6A" w:rsidRPr="007D04D7" w:rsidRDefault="00870D6A" w:rsidP="00870D6A">
            <w:pPr>
              <w:rPr>
                <w:szCs w:val="22"/>
              </w:rPr>
            </w:pPr>
            <w:r w:rsidRPr="007D04D7">
              <w:rPr>
                <w:szCs w:val="22"/>
              </w:rPr>
              <w:t xml:space="preserve">Baseline costs are $0 since it is an REA measure and the base case would be to do nothing to the faucet. </w:t>
            </w:r>
          </w:p>
          <w:p w14:paraId="5A8E78D0" w14:textId="4BD53CED" w:rsidR="00CB11C9" w:rsidRPr="007D04D7" w:rsidRDefault="00CB11C9" w:rsidP="005B2619">
            <w:pPr>
              <w:rPr>
                <w:rFonts w:cs="Arial"/>
                <w:color w:val="000000" w:themeColor="text1"/>
                <w:szCs w:val="22"/>
              </w:rPr>
            </w:pPr>
          </w:p>
        </w:tc>
      </w:tr>
      <w:tr w:rsidR="00CB11C9" w14:paraId="61FFA715" w14:textId="77777777" w:rsidTr="008E0122">
        <w:tc>
          <w:tcPr>
            <w:tcW w:w="2303" w:type="dxa"/>
          </w:tcPr>
          <w:p w14:paraId="064CC879" w14:textId="121F22F0" w:rsidR="00CB11C9" w:rsidRPr="007D04D7" w:rsidRDefault="00870D6A" w:rsidP="005B2619">
            <w:pPr>
              <w:jc w:val="right"/>
              <w:rPr>
                <w:szCs w:val="22"/>
              </w:rPr>
            </w:pPr>
            <w:r w:rsidRPr="007D04D7">
              <w:rPr>
                <w:szCs w:val="22"/>
              </w:rPr>
              <w:t>Measure Case Cost</w:t>
            </w:r>
          </w:p>
        </w:tc>
        <w:tc>
          <w:tcPr>
            <w:tcW w:w="8767" w:type="dxa"/>
          </w:tcPr>
          <w:p w14:paraId="3AF441EF" w14:textId="77777777" w:rsidR="00870D6A" w:rsidRPr="007D04D7" w:rsidRDefault="00870D6A" w:rsidP="00870D6A">
            <w:pPr>
              <w:pStyle w:val="Caption"/>
              <w:keepNext/>
              <w:jc w:val="center"/>
              <w:rPr>
                <w:color w:val="000000" w:themeColor="text1"/>
                <w:szCs w:val="22"/>
              </w:rPr>
            </w:pPr>
            <w:r w:rsidRPr="007D04D7">
              <w:rPr>
                <w:color w:val="000000" w:themeColor="text1"/>
                <w:szCs w:val="22"/>
              </w:rPr>
              <w:t>Proposed Measure Costs</w:t>
            </w:r>
          </w:p>
          <w:tbl>
            <w:tblPr>
              <w:tblStyle w:val="TableGrid1"/>
              <w:tblW w:w="4482" w:type="pct"/>
              <w:jc w:val="center"/>
              <w:tblLook w:val="04A0" w:firstRow="1" w:lastRow="0" w:firstColumn="1" w:lastColumn="0" w:noHBand="0" w:noVBand="1"/>
            </w:tblPr>
            <w:tblGrid>
              <w:gridCol w:w="1518"/>
              <w:gridCol w:w="1384"/>
              <w:gridCol w:w="1390"/>
              <w:gridCol w:w="1860"/>
              <w:gridCol w:w="1504"/>
            </w:tblGrid>
            <w:tr w:rsidR="00870D6A" w:rsidRPr="007D04D7" w14:paraId="1B3ECE9F" w14:textId="77777777" w:rsidTr="00857E51">
              <w:trPr>
                <w:trHeight w:val="521"/>
                <w:jc w:val="center"/>
              </w:trPr>
              <w:tc>
                <w:tcPr>
                  <w:tcW w:w="991" w:type="pct"/>
                  <w:shd w:val="clear" w:color="auto" w:fill="D9D9D9" w:themeFill="background1" w:themeFillShade="D9"/>
                  <w:vAlign w:val="center"/>
                </w:tcPr>
                <w:p w14:paraId="47923B86" w14:textId="77777777" w:rsidR="00870D6A" w:rsidRPr="003F341E" w:rsidRDefault="00870D6A" w:rsidP="00870D6A">
                  <w:pPr>
                    <w:jc w:val="center"/>
                    <w:rPr>
                      <w:rFonts w:cstheme="minorHAnsi"/>
                      <w:b/>
                      <w:color w:val="000000" w:themeColor="text1"/>
                      <w:szCs w:val="20"/>
                    </w:rPr>
                  </w:pPr>
                  <w:r w:rsidRPr="003F341E">
                    <w:rPr>
                      <w:rFonts w:cstheme="minorHAnsi"/>
                      <w:b/>
                      <w:color w:val="000000" w:themeColor="text1"/>
                      <w:szCs w:val="20"/>
                    </w:rPr>
                    <w:t>Description</w:t>
                  </w:r>
                </w:p>
              </w:tc>
              <w:tc>
                <w:tcPr>
                  <w:tcW w:w="904" w:type="pct"/>
                  <w:shd w:val="clear" w:color="auto" w:fill="D9D9D9" w:themeFill="background1" w:themeFillShade="D9"/>
                </w:tcPr>
                <w:p w14:paraId="50026B61" w14:textId="77777777" w:rsidR="00870D6A" w:rsidRPr="003F341E" w:rsidRDefault="00870D6A" w:rsidP="00870D6A">
                  <w:pPr>
                    <w:jc w:val="center"/>
                    <w:rPr>
                      <w:rFonts w:cstheme="minorHAnsi"/>
                      <w:b/>
                      <w:color w:val="000000" w:themeColor="text1"/>
                      <w:szCs w:val="20"/>
                    </w:rPr>
                  </w:pPr>
                  <w:r w:rsidRPr="003F341E">
                    <w:rPr>
                      <w:rFonts w:cstheme="minorHAnsi"/>
                      <w:b/>
                      <w:color w:val="000000" w:themeColor="text1"/>
                      <w:szCs w:val="20"/>
                    </w:rPr>
                    <w:t>Delivery Method</w:t>
                  </w:r>
                </w:p>
              </w:tc>
              <w:tc>
                <w:tcPr>
                  <w:tcW w:w="908" w:type="pct"/>
                  <w:shd w:val="clear" w:color="auto" w:fill="D9D9D9" w:themeFill="background1" w:themeFillShade="D9"/>
                  <w:vAlign w:val="center"/>
                </w:tcPr>
                <w:p w14:paraId="07DE5111" w14:textId="77777777" w:rsidR="00870D6A" w:rsidRPr="003F341E" w:rsidRDefault="00870D6A" w:rsidP="00870D6A">
                  <w:pPr>
                    <w:jc w:val="center"/>
                    <w:rPr>
                      <w:rFonts w:cstheme="minorHAnsi"/>
                      <w:b/>
                      <w:color w:val="000000" w:themeColor="text1"/>
                      <w:szCs w:val="20"/>
                    </w:rPr>
                  </w:pPr>
                  <w:r w:rsidRPr="003F341E">
                    <w:rPr>
                      <w:rFonts w:cstheme="minorHAnsi"/>
                      <w:b/>
                      <w:color w:val="000000" w:themeColor="text1"/>
                      <w:szCs w:val="20"/>
                    </w:rPr>
                    <w:t>Equipment Cost</w:t>
                  </w:r>
                </w:p>
              </w:tc>
              <w:tc>
                <w:tcPr>
                  <w:tcW w:w="1215" w:type="pct"/>
                  <w:shd w:val="clear" w:color="auto" w:fill="D9D9D9" w:themeFill="background1" w:themeFillShade="D9"/>
                  <w:vAlign w:val="center"/>
                </w:tcPr>
                <w:p w14:paraId="76D8B112" w14:textId="77777777" w:rsidR="00870D6A" w:rsidRPr="007D04D7" w:rsidRDefault="00870D6A" w:rsidP="00870D6A">
                  <w:pPr>
                    <w:jc w:val="center"/>
                    <w:rPr>
                      <w:rFonts w:cstheme="minorHAnsi"/>
                      <w:b/>
                      <w:color w:val="000000" w:themeColor="text1"/>
                      <w:sz w:val="22"/>
                      <w:szCs w:val="22"/>
                    </w:rPr>
                  </w:pPr>
                  <w:r w:rsidRPr="007D04D7">
                    <w:rPr>
                      <w:rFonts w:cstheme="minorHAnsi"/>
                      <w:b/>
                      <w:color w:val="000000" w:themeColor="text1"/>
                      <w:sz w:val="22"/>
                      <w:szCs w:val="22"/>
                    </w:rPr>
                    <w:t>Labor/Installation Cost</w:t>
                  </w:r>
                </w:p>
              </w:tc>
              <w:tc>
                <w:tcPr>
                  <w:tcW w:w="981" w:type="pct"/>
                  <w:shd w:val="clear" w:color="auto" w:fill="D9D9D9" w:themeFill="background1" w:themeFillShade="D9"/>
                  <w:vAlign w:val="center"/>
                </w:tcPr>
                <w:p w14:paraId="720DECB5" w14:textId="77777777" w:rsidR="00870D6A" w:rsidRPr="007D04D7" w:rsidRDefault="00870D6A" w:rsidP="00870D6A">
                  <w:pPr>
                    <w:jc w:val="center"/>
                    <w:rPr>
                      <w:rFonts w:cstheme="minorHAnsi"/>
                      <w:b/>
                      <w:color w:val="000000" w:themeColor="text1"/>
                      <w:sz w:val="22"/>
                      <w:szCs w:val="22"/>
                    </w:rPr>
                  </w:pPr>
                  <w:r w:rsidRPr="007D04D7">
                    <w:rPr>
                      <w:rFonts w:cstheme="minorHAnsi"/>
                      <w:b/>
                      <w:color w:val="000000" w:themeColor="text1"/>
                      <w:sz w:val="22"/>
                      <w:szCs w:val="22"/>
                    </w:rPr>
                    <w:t>Total Measure Cost</w:t>
                  </w:r>
                </w:p>
              </w:tc>
            </w:tr>
            <w:tr w:rsidR="00870D6A" w:rsidRPr="007D04D7" w14:paraId="1DEF3A97" w14:textId="77777777" w:rsidTr="00857E51">
              <w:trPr>
                <w:trHeight w:val="257"/>
                <w:jc w:val="center"/>
              </w:trPr>
              <w:tc>
                <w:tcPr>
                  <w:tcW w:w="991" w:type="pct"/>
                  <w:vAlign w:val="center"/>
                </w:tcPr>
                <w:p w14:paraId="53896EC5" w14:textId="3F7B5836" w:rsidR="00870D6A" w:rsidRPr="003F341E" w:rsidRDefault="009878D9" w:rsidP="00870D6A">
                  <w:pPr>
                    <w:jc w:val="center"/>
                    <w:rPr>
                      <w:rFonts w:cs="Calibri"/>
                      <w:color w:val="000000" w:themeColor="text1"/>
                      <w:szCs w:val="20"/>
                    </w:rPr>
                  </w:pPr>
                  <w:r w:rsidRPr="003F341E">
                    <w:rPr>
                      <w:rFonts w:cs="Calibri"/>
                      <w:color w:val="000000" w:themeColor="text1"/>
                      <w:szCs w:val="20"/>
                    </w:rPr>
                    <w:t>LFR (DI)</w:t>
                  </w:r>
                </w:p>
              </w:tc>
              <w:tc>
                <w:tcPr>
                  <w:tcW w:w="904" w:type="pct"/>
                  <w:vAlign w:val="center"/>
                </w:tcPr>
                <w:p w14:paraId="5A6B6092" w14:textId="149EC8BC" w:rsidR="00870D6A" w:rsidRPr="003F341E" w:rsidRDefault="00870D6A" w:rsidP="00870D6A">
                  <w:pPr>
                    <w:jc w:val="center"/>
                    <w:rPr>
                      <w:rFonts w:cs="Calibri"/>
                      <w:color w:val="000000" w:themeColor="text1"/>
                      <w:szCs w:val="20"/>
                    </w:rPr>
                  </w:pPr>
                  <w:r w:rsidRPr="003F341E">
                    <w:rPr>
                      <w:rFonts w:cs="Calibri"/>
                      <w:color w:val="000000" w:themeColor="text1"/>
                      <w:szCs w:val="20"/>
                    </w:rPr>
                    <w:t>Direct Install</w:t>
                  </w:r>
                  <w:r w:rsidR="006A7254" w:rsidRPr="003F341E">
                    <w:rPr>
                      <w:rFonts w:cs="Calibri"/>
                      <w:color w:val="000000" w:themeColor="text1"/>
                      <w:szCs w:val="20"/>
                    </w:rPr>
                    <w:t xml:space="preserve"> </w:t>
                  </w:r>
                </w:p>
              </w:tc>
              <w:tc>
                <w:tcPr>
                  <w:tcW w:w="908" w:type="pct"/>
                  <w:vAlign w:val="center"/>
                </w:tcPr>
                <w:p w14:paraId="6464952E" w14:textId="7DE4B5AA" w:rsidR="00870D6A" w:rsidRPr="003F341E" w:rsidRDefault="00870D6A" w:rsidP="00870D6A">
                  <w:pPr>
                    <w:jc w:val="center"/>
                    <w:rPr>
                      <w:color w:val="000000" w:themeColor="text1"/>
                      <w:szCs w:val="20"/>
                    </w:rPr>
                  </w:pPr>
                  <w:r w:rsidRPr="003F341E">
                    <w:rPr>
                      <w:rFonts w:cs="Calibri"/>
                      <w:color w:val="000000" w:themeColor="text1"/>
                      <w:szCs w:val="20"/>
                    </w:rPr>
                    <w:t>$</w:t>
                  </w:r>
                  <w:r w:rsidR="009878D9" w:rsidRPr="003F341E">
                    <w:rPr>
                      <w:rFonts w:cs="Calibri"/>
                      <w:color w:val="000000" w:themeColor="text1"/>
                      <w:szCs w:val="20"/>
                    </w:rPr>
                    <w:t>7.27</w:t>
                  </w:r>
                  <w:r w:rsidRPr="003F341E">
                    <w:rPr>
                      <w:rFonts w:cs="Calibri"/>
                      <w:color w:val="000000" w:themeColor="text1"/>
                      <w:szCs w:val="20"/>
                    </w:rPr>
                    <w:t>/fixture</w:t>
                  </w:r>
                </w:p>
              </w:tc>
              <w:tc>
                <w:tcPr>
                  <w:tcW w:w="1215" w:type="pct"/>
                  <w:vAlign w:val="center"/>
                </w:tcPr>
                <w:p w14:paraId="01BC053E" w14:textId="0B25209D" w:rsidR="00870D6A" w:rsidRPr="007D04D7" w:rsidRDefault="00870D6A" w:rsidP="00870D6A">
                  <w:pPr>
                    <w:jc w:val="center"/>
                    <w:rPr>
                      <w:rFonts w:cs="Calibri"/>
                      <w:color w:val="000000" w:themeColor="text1"/>
                      <w:sz w:val="22"/>
                      <w:szCs w:val="22"/>
                    </w:rPr>
                  </w:pPr>
                  <w:r w:rsidRPr="007D04D7">
                    <w:rPr>
                      <w:rFonts w:cs="Calibri"/>
                      <w:color w:val="000000" w:themeColor="text1"/>
                      <w:sz w:val="22"/>
                      <w:szCs w:val="22"/>
                    </w:rPr>
                    <w:t>$</w:t>
                  </w:r>
                  <w:r w:rsidR="009878D9">
                    <w:rPr>
                      <w:rFonts w:cs="Calibri"/>
                      <w:color w:val="000000" w:themeColor="text1"/>
                      <w:sz w:val="22"/>
                      <w:szCs w:val="22"/>
                    </w:rPr>
                    <w:t>7.00</w:t>
                  </w:r>
                  <w:r w:rsidRPr="007D04D7">
                    <w:rPr>
                      <w:rFonts w:cs="Calibri"/>
                      <w:color w:val="000000" w:themeColor="text1"/>
                      <w:sz w:val="22"/>
                      <w:szCs w:val="22"/>
                    </w:rPr>
                    <w:t>/fixture</w:t>
                  </w:r>
                </w:p>
              </w:tc>
              <w:tc>
                <w:tcPr>
                  <w:tcW w:w="981" w:type="pct"/>
                  <w:vAlign w:val="center"/>
                </w:tcPr>
                <w:p w14:paraId="2521D4D8" w14:textId="3ED00F26" w:rsidR="00870D6A" w:rsidRPr="007D04D7" w:rsidRDefault="00870D6A" w:rsidP="00870D6A">
                  <w:pPr>
                    <w:jc w:val="center"/>
                    <w:rPr>
                      <w:rFonts w:cs="Calibri"/>
                      <w:color w:val="000000" w:themeColor="text1"/>
                      <w:sz w:val="22"/>
                      <w:szCs w:val="22"/>
                    </w:rPr>
                  </w:pPr>
                  <w:r w:rsidRPr="007D04D7">
                    <w:rPr>
                      <w:rFonts w:cs="Calibri"/>
                      <w:color w:val="000000" w:themeColor="text1"/>
                      <w:sz w:val="22"/>
                      <w:szCs w:val="22"/>
                    </w:rPr>
                    <w:t>$</w:t>
                  </w:r>
                  <w:r w:rsidR="009878D9">
                    <w:rPr>
                      <w:rFonts w:cs="Calibri"/>
                      <w:color w:val="000000" w:themeColor="text1"/>
                      <w:sz w:val="22"/>
                      <w:szCs w:val="22"/>
                    </w:rPr>
                    <w:t>14.27</w:t>
                  </w:r>
                  <w:r w:rsidRPr="007D04D7">
                    <w:rPr>
                      <w:rFonts w:cs="Calibri"/>
                      <w:color w:val="000000" w:themeColor="text1"/>
                      <w:sz w:val="22"/>
                      <w:szCs w:val="22"/>
                    </w:rPr>
                    <w:t>/fixture</w:t>
                  </w:r>
                </w:p>
              </w:tc>
            </w:tr>
            <w:tr w:rsidR="009878D9" w:rsidRPr="007D04D7" w14:paraId="58540621" w14:textId="77777777" w:rsidTr="00857E51">
              <w:trPr>
                <w:trHeight w:val="257"/>
                <w:jc w:val="center"/>
              </w:trPr>
              <w:tc>
                <w:tcPr>
                  <w:tcW w:w="991" w:type="pct"/>
                  <w:vAlign w:val="center"/>
                </w:tcPr>
                <w:p w14:paraId="7491B2F2" w14:textId="249B77C1" w:rsidR="009878D9" w:rsidRPr="003F341E" w:rsidRDefault="009878D9" w:rsidP="009878D9">
                  <w:pPr>
                    <w:jc w:val="center"/>
                    <w:rPr>
                      <w:rFonts w:cs="Calibri"/>
                      <w:color w:val="000000" w:themeColor="text1"/>
                      <w:szCs w:val="20"/>
                    </w:rPr>
                  </w:pPr>
                  <w:r w:rsidRPr="003F341E">
                    <w:rPr>
                      <w:rFonts w:cs="Calibri"/>
                      <w:color w:val="000000" w:themeColor="text1"/>
                      <w:szCs w:val="20"/>
                    </w:rPr>
                    <w:t>LFR (PreRebDown)</w:t>
                  </w:r>
                </w:p>
              </w:tc>
              <w:tc>
                <w:tcPr>
                  <w:tcW w:w="904" w:type="pct"/>
                  <w:vAlign w:val="center"/>
                </w:tcPr>
                <w:p w14:paraId="148AEF3E" w14:textId="502CD5D0" w:rsidR="009878D9" w:rsidRPr="003F341E" w:rsidRDefault="009878D9" w:rsidP="009878D9">
                  <w:pPr>
                    <w:jc w:val="center"/>
                    <w:rPr>
                      <w:rFonts w:cs="Calibri"/>
                      <w:color w:val="000000" w:themeColor="text1"/>
                      <w:szCs w:val="20"/>
                    </w:rPr>
                  </w:pPr>
                  <w:r w:rsidRPr="003F341E">
                    <w:rPr>
                      <w:rFonts w:cs="Calibri"/>
                      <w:color w:val="000000" w:themeColor="text1"/>
                      <w:szCs w:val="20"/>
                    </w:rPr>
                    <w:t>PreRebDown</w:t>
                  </w:r>
                </w:p>
              </w:tc>
              <w:tc>
                <w:tcPr>
                  <w:tcW w:w="908" w:type="pct"/>
                  <w:vAlign w:val="center"/>
                </w:tcPr>
                <w:p w14:paraId="3108E4C8" w14:textId="221162A9" w:rsidR="009878D9" w:rsidRPr="003F341E" w:rsidRDefault="009878D9" w:rsidP="009878D9">
                  <w:pPr>
                    <w:jc w:val="center"/>
                    <w:rPr>
                      <w:rFonts w:cs="Calibri"/>
                      <w:color w:val="000000" w:themeColor="text1"/>
                      <w:szCs w:val="20"/>
                    </w:rPr>
                  </w:pPr>
                  <w:r w:rsidRPr="003F341E">
                    <w:rPr>
                      <w:rFonts w:cs="Calibri"/>
                      <w:color w:val="000000" w:themeColor="text1"/>
                      <w:szCs w:val="20"/>
                    </w:rPr>
                    <w:t>$7.27/fixture</w:t>
                  </w:r>
                </w:p>
              </w:tc>
              <w:tc>
                <w:tcPr>
                  <w:tcW w:w="1215" w:type="pct"/>
                  <w:vAlign w:val="center"/>
                </w:tcPr>
                <w:p w14:paraId="3D3D9C88" w14:textId="5034628E" w:rsidR="009878D9" w:rsidRDefault="009878D9" w:rsidP="009878D9">
                  <w:pPr>
                    <w:jc w:val="center"/>
                    <w:rPr>
                      <w:rFonts w:cs="Calibri"/>
                      <w:color w:val="000000" w:themeColor="text1"/>
                      <w:szCs w:val="22"/>
                    </w:rPr>
                  </w:pPr>
                  <w:r w:rsidRPr="007D04D7">
                    <w:rPr>
                      <w:rFonts w:cs="Calibri"/>
                      <w:color w:val="000000" w:themeColor="text1"/>
                      <w:sz w:val="22"/>
                      <w:szCs w:val="22"/>
                    </w:rPr>
                    <w:t>$</w:t>
                  </w:r>
                  <w:r>
                    <w:rPr>
                      <w:rFonts w:cs="Calibri"/>
                      <w:color w:val="000000" w:themeColor="text1"/>
                      <w:sz w:val="22"/>
                      <w:szCs w:val="22"/>
                    </w:rPr>
                    <w:t>0.00</w:t>
                  </w:r>
                  <w:r w:rsidRPr="007D04D7">
                    <w:rPr>
                      <w:rFonts w:cs="Calibri"/>
                      <w:color w:val="000000" w:themeColor="text1"/>
                      <w:sz w:val="22"/>
                      <w:szCs w:val="22"/>
                    </w:rPr>
                    <w:t>/fixture</w:t>
                  </w:r>
                </w:p>
              </w:tc>
              <w:tc>
                <w:tcPr>
                  <w:tcW w:w="981" w:type="pct"/>
                  <w:vAlign w:val="center"/>
                </w:tcPr>
                <w:p w14:paraId="7FAAD901" w14:textId="23A99056" w:rsidR="009878D9" w:rsidRDefault="009878D9" w:rsidP="009878D9">
                  <w:pPr>
                    <w:jc w:val="center"/>
                    <w:rPr>
                      <w:rFonts w:cs="Calibri"/>
                      <w:color w:val="000000" w:themeColor="text1"/>
                      <w:szCs w:val="22"/>
                    </w:rPr>
                  </w:pPr>
                  <w:r w:rsidRPr="007D04D7">
                    <w:rPr>
                      <w:rFonts w:cs="Calibri"/>
                      <w:color w:val="000000" w:themeColor="text1"/>
                      <w:sz w:val="22"/>
                      <w:szCs w:val="22"/>
                    </w:rPr>
                    <w:t>$</w:t>
                  </w:r>
                  <w:r>
                    <w:rPr>
                      <w:rFonts w:cs="Calibri"/>
                      <w:color w:val="000000" w:themeColor="text1"/>
                      <w:sz w:val="22"/>
                      <w:szCs w:val="22"/>
                    </w:rPr>
                    <w:t>7.27</w:t>
                  </w:r>
                  <w:r w:rsidRPr="007D04D7">
                    <w:rPr>
                      <w:rFonts w:cs="Calibri"/>
                      <w:color w:val="000000" w:themeColor="text1"/>
                      <w:sz w:val="22"/>
                      <w:szCs w:val="22"/>
                    </w:rPr>
                    <w:t>/fixture</w:t>
                  </w:r>
                </w:p>
              </w:tc>
            </w:tr>
            <w:tr w:rsidR="00857E51" w:rsidRPr="007D04D7" w14:paraId="7232B8F7" w14:textId="77777777" w:rsidTr="00857E51">
              <w:trPr>
                <w:trHeight w:val="257"/>
                <w:jc w:val="center"/>
              </w:trPr>
              <w:tc>
                <w:tcPr>
                  <w:tcW w:w="5000" w:type="pct"/>
                  <w:gridSpan w:val="5"/>
                  <w:vAlign w:val="center"/>
                </w:tcPr>
                <w:p w14:paraId="3AF2083C" w14:textId="40412124" w:rsidR="00857E51" w:rsidRPr="003F341E" w:rsidRDefault="00857E51" w:rsidP="009878D9">
                  <w:pPr>
                    <w:jc w:val="center"/>
                    <w:rPr>
                      <w:rFonts w:cs="Calibri"/>
                      <w:color w:val="000000" w:themeColor="text1"/>
                      <w:szCs w:val="20"/>
                    </w:rPr>
                  </w:pPr>
                  <w:r w:rsidRPr="003F341E">
                    <w:rPr>
                      <w:rFonts w:cs="Calibri"/>
                      <w:color w:val="000000" w:themeColor="text1"/>
                      <w:szCs w:val="20"/>
                    </w:rPr>
                    <w:t>Measure Cost ID: SDG-SHW-LamFlowRestrict</w:t>
                  </w:r>
                </w:p>
              </w:tc>
            </w:tr>
          </w:tbl>
          <w:p w14:paraId="4AB37797" w14:textId="3204AC17" w:rsidR="00CF0DA9" w:rsidRPr="007D04D7" w:rsidRDefault="00CF0DA9" w:rsidP="00CD5F37">
            <w:pPr>
              <w:rPr>
                <w:rFonts w:cs="Arial"/>
                <w:color w:val="000000" w:themeColor="text1"/>
                <w:szCs w:val="22"/>
              </w:rPr>
            </w:pPr>
          </w:p>
        </w:tc>
      </w:tr>
      <w:tr w:rsidR="00870D6A" w14:paraId="4FC01C25" w14:textId="77777777" w:rsidTr="008E0122">
        <w:tc>
          <w:tcPr>
            <w:tcW w:w="2303" w:type="dxa"/>
          </w:tcPr>
          <w:p w14:paraId="53EC4CC5" w14:textId="77E6BC90" w:rsidR="00870D6A" w:rsidRPr="007D04D7" w:rsidRDefault="00870D6A" w:rsidP="005B2619">
            <w:pPr>
              <w:jc w:val="right"/>
              <w:rPr>
                <w:szCs w:val="22"/>
              </w:rPr>
            </w:pPr>
            <w:r w:rsidRPr="007D04D7">
              <w:rPr>
                <w:szCs w:val="22"/>
              </w:rPr>
              <w:t>Full and Incremental Cost</w:t>
            </w:r>
          </w:p>
        </w:tc>
        <w:tc>
          <w:tcPr>
            <w:tcW w:w="8767" w:type="dxa"/>
          </w:tcPr>
          <w:p w14:paraId="7819E6E8" w14:textId="3724612E" w:rsidR="00870D6A" w:rsidRPr="007D04D7" w:rsidRDefault="00870D6A" w:rsidP="00870D6A">
            <w:pPr>
              <w:pStyle w:val="Caption"/>
              <w:keepNext/>
              <w:jc w:val="center"/>
              <w:rPr>
                <w:color w:val="000000" w:themeColor="text1"/>
                <w:szCs w:val="22"/>
              </w:rPr>
            </w:pPr>
            <w:r w:rsidRPr="007D04D7">
              <w:rPr>
                <w:color w:val="000000" w:themeColor="text1"/>
                <w:szCs w:val="22"/>
              </w:rPr>
              <w:t>Full and Incremental Costs</w:t>
            </w:r>
          </w:p>
          <w:tbl>
            <w:tblPr>
              <w:tblStyle w:val="TableGrid1"/>
              <w:tblW w:w="5000" w:type="pct"/>
              <w:tblLook w:val="01E0" w:firstRow="1" w:lastRow="1" w:firstColumn="1" w:lastColumn="1" w:noHBand="0" w:noVBand="0"/>
            </w:tblPr>
            <w:tblGrid>
              <w:gridCol w:w="2103"/>
              <w:gridCol w:w="3773"/>
              <w:gridCol w:w="1524"/>
              <w:gridCol w:w="1141"/>
            </w:tblGrid>
            <w:tr w:rsidR="00870D6A" w:rsidRPr="007D04D7" w14:paraId="08E8C8CF" w14:textId="77777777" w:rsidTr="00843963">
              <w:tc>
                <w:tcPr>
                  <w:tcW w:w="1231" w:type="pct"/>
                  <w:vMerge w:val="restart"/>
                  <w:shd w:val="clear" w:color="auto" w:fill="D9D9D9" w:themeFill="background1" w:themeFillShade="D9"/>
                </w:tcPr>
                <w:p w14:paraId="14BC5509" w14:textId="77777777" w:rsidR="00870D6A" w:rsidRPr="003F341E" w:rsidRDefault="00870D6A" w:rsidP="00870D6A">
                  <w:pPr>
                    <w:rPr>
                      <w:rFonts w:cstheme="minorHAnsi"/>
                      <w:b/>
                      <w:color w:val="000000" w:themeColor="text1"/>
                      <w:szCs w:val="20"/>
                      <w:highlight w:val="yellow"/>
                    </w:rPr>
                  </w:pPr>
                  <w:r w:rsidRPr="003F341E">
                    <w:rPr>
                      <w:rFonts w:cstheme="minorHAnsi"/>
                      <w:b/>
                      <w:color w:val="000000" w:themeColor="text1"/>
                      <w:szCs w:val="20"/>
                    </w:rPr>
                    <w:t>Installation Type</w:t>
                  </w:r>
                </w:p>
              </w:tc>
              <w:tc>
                <w:tcPr>
                  <w:tcW w:w="2209" w:type="pct"/>
                  <w:vMerge w:val="restart"/>
                  <w:shd w:val="clear" w:color="auto" w:fill="D9D9D9" w:themeFill="background1" w:themeFillShade="D9"/>
                </w:tcPr>
                <w:p w14:paraId="1816EC66" w14:textId="77777777" w:rsidR="00870D6A" w:rsidRPr="003F341E" w:rsidRDefault="00870D6A" w:rsidP="00870D6A">
                  <w:pPr>
                    <w:rPr>
                      <w:rFonts w:cstheme="minorHAnsi"/>
                      <w:b/>
                      <w:color w:val="000000" w:themeColor="text1"/>
                      <w:szCs w:val="20"/>
                    </w:rPr>
                  </w:pPr>
                  <w:r w:rsidRPr="003F341E">
                    <w:rPr>
                      <w:rFonts w:cstheme="minorHAnsi"/>
                      <w:b/>
                      <w:color w:val="000000" w:themeColor="text1"/>
                      <w:szCs w:val="20"/>
                    </w:rPr>
                    <w:t>Incremental Measure Cost</w:t>
                  </w:r>
                </w:p>
              </w:tc>
              <w:tc>
                <w:tcPr>
                  <w:tcW w:w="1560" w:type="pct"/>
                  <w:gridSpan w:val="2"/>
                  <w:shd w:val="clear" w:color="auto" w:fill="D9D9D9" w:themeFill="background1" w:themeFillShade="D9"/>
                </w:tcPr>
                <w:p w14:paraId="4277CC63" w14:textId="77777777" w:rsidR="00870D6A" w:rsidRPr="007D04D7" w:rsidRDefault="00870D6A" w:rsidP="00870D6A">
                  <w:pPr>
                    <w:rPr>
                      <w:rFonts w:cstheme="minorHAnsi"/>
                      <w:b/>
                      <w:color w:val="000000" w:themeColor="text1"/>
                      <w:sz w:val="22"/>
                      <w:szCs w:val="22"/>
                      <w:highlight w:val="yellow"/>
                    </w:rPr>
                  </w:pPr>
                  <w:r w:rsidRPr="007D04D7">
                    <w:rPr>
                      <w:rFonts w:cstheme="minorHAnsi"/>
                      <w:b/>
                      <w:color w:val="000000" w:themeColor="text1"/>
                      <w:sz w:val="22"/>
                      <w:szCs w:val="22"/>
                    </w:rPr>
                    <w:t>Full Measure Cost</w:t>
                  </w:r>
                </w:p>
              </w:tc>
            </w:tr>
            <w:tr w:rsidR="00870D6A" w:rsidRPr="007D04D7" w14:paraId="16957676" w14:textId="77777777" w:rsidTr="00843963">
              <w:tc>
                <w:tcPr>
                  <w:tcW w:w="1231" w:type="pct"/>
                  <w:vMerge/>
                  <w:shd w:val="clear" w:color="auto" w:fill="D9D9D9" w:themeFill="background1" w:themeFillShade="D9"/>
                </w:tcPr>
                <w:p w14:paraId="656C74AE" w14:textId="77777777" w:rsidR="00870D6A" w:rsidRPr="003F341E" w:rsidRDefault="00870D6A" w:rsidP="00870D6A">
                  <w:pPr>
                    <w:rPr>
                      <w:rFonts w:cstheme="minorHAnsi"/>
                      <w:b/>
                      <w:color w:val="000000" w:themeColor="text1"/>
                      <w:szCs w:val="20"/>
                    </w:rPr>
                  </w:pPr>
                </w:p>
              </w:tc>
              <w:tc>
                <w:tcPr>
                  <w:tcW w:w="2209" w:type="pct"/>
                  <w:vMerge/>
                  <w:shd w:val="clear" w:color="auto" w:fill="D9D9D9" w:themeFill="background1" w:themeFillShade="D9"/>
                </w:tcPr>
                <w:p w14:paraId="0CC51BFE" w14:textId="77777777" w:rsidR="00870D6A" w:rsidRPr="003F341E" w:rsidRDefault="00870D6A" w:rsidP="00870D6A">
                  <w:pPr>
                    <w:rPr>
                      <w:rFonts w:cstheme="minorHAnsi"/>
                      <w:b/>
                      <w:color w:val="000000" w:themeColor="text1"/>
                      <w:szCs w:val="20"/>
                    </w:rPr>
                  </w:pPr>
                </w:p>
              </w:tc>
              <w:tc>
                <w:tcPr>
                  <w:tcW w:w="892" w:type="pct"/>
                  <w:shd w:val="clear" w:color="auto" w:fill="F2F2F2" w:themeFill="background1" w:themeFillShade="F2"/>
                </w:tcPr>
                <w:p w14:paraId="00CF9E84" w14:textId="77777777" w:rsidR="00870D6A" w:rsidRPr="007D04D7" w:rsidRDefault="00870D6A" w:rsidP="00870D6A">
                  <w:pPr>
                    <w:rPr>
                      <w:rFonts w:cstheme="minorHAnsi"/>
                      <w:b/>
                      <w:color w:val="000000" w:themeColor="text1"/>
                      <w:sz w:val="22"/>
                      <w:szCs w:val="22"/>
                    </w:rPr>
                  </w:pPr>
                  <w:r w:rsidRPr="007D04D7">
                    <w:rPr>
                      <w:rFonts w:cstheme="minorHAnsi"/>
                      <w:b/>
                      <w:color w:val="000000" w:themeColor="text1"/>
                      <w:sz w:val="22"/>
                      <w:szCs w:val="22"/>
                    </w:rPr>
                    <w:t>1</w:t>
                  </w:r>
                  <w:r w:rsidRPr="007D04D7">
                    <w:rPr>
                      <w:rFonts w:cstheme="minorHAnsi"/>
                      <w:b/>
                      <w:color w:val="000000" w:themeColor="text1"/>
                      <w:sz w:val="22"/>
                      <w:szCs w:val="22"/>
                      <w:vertAlign w:val="superscript"/>
                    </w:rPr>
                    <w:t>st</w:t>
                  </w:r>
                  <w:r w:rsidRPr="007D04D7">
                    <w:rPr>
                      <w:rFonts w:cstheme="minorHAnsi"/>
                      <w:b/>
                      <w:color w:val="000000" w:themeColor="text1"/>
                      <w:sz w:val="22"/>
                      <w:szCs w:val="22"/>
                    </w:rPr>
                    <w:t xml:space="preserve"> Baseline</w:t>
                  </w:r>
                </w:p>
              </w:tc>
              <w:tc>
                <w:tcPr>
                  <w:tcW w:w="668" w:type="pct"/>
                  <w:shd w:val="clear" w:color="auto" w:fill="F2F2F2" w:themeFill="background1" w:themeFillShade="F2"/>
                </w:tcPr>
                <w:p w14:paraId="3800ED1E" w14:textId="77777777" w:rsidR="00870D6A" w:rsidRPr="007D04D7" w:rsidRDefault="00870D6A" w:rsidP="00870D6A">
                  <w:pPr>
                    <w:rPr>
                      <w:rFonts w:cstheme="minorHAnsi"/>
                      <w:b/>
                      <w:color w:val="000000" w:themeColor="text1"/>
                      <w:sz w:val="22"/>
                      <w:szCs w:val="22"/>
                    </w:rPr>
                  </w:pPr>
                  <w:r w:rsidRPr="007D04D7">
                    <w:rPr>
                      <w:rFonts w:cstheme="minorHAnsi"/>
                      <w:b/>
                      <w:color w:val="000000" w:themeColor="text1"/>
                      <w:sz w:val="22"/>
                      <w:szCs w:val="22"/>
                    </w:rPr>
                    <w:t>2</w:t>
                  </w:r>
                  <w:r w:rsidRPr="007D04D7">
                    <w:rPr>
                      <w:rFonts w:cstheme="minorHAnsi"/>
                      <w:b/>
                      <w:color w:val="000000" w:themeColor="text1"/>
                      <w:sz w:val="22"/>
                      <w:szCs w:val="22"/>
                      <w:vertAlign w:val="superscript"/>
                    </w:rPr>
                    <w:t>nd</w:t>
                  </w:r>
                  <w:r w:rsidRPr="007D04D7">
                    <w:rPr>
                      <w:rFonts w:cstheme="minorHAnsi"/>
                      <w:b/>
                      <w:color w:val="000000" w:themeColor="text1"/>
                      <w:sz w:val="22"/>
                      <w:szCs w:val="22"/>
                    </w:rPr>
                    <w:t xml:space="preserve"> Baseline</w:t>
                  </w:r>
                </w:p>
              </w:tc>
            </w:tr>
            <w:tr w:rsidR="00870D6A" w:rsidRPr="007D04D7" w14:paraId="0644A56F" w14:textId="77777777" w:rsidTr="00843963">
              <w:tc>
                <w:tcPr>
                  <w:tcW w:w="1231" w:type="pct"/>
                  <w:vAlign w:val="center"/>
                </w:tcPr>
                <w:p w14:paraId="7EEE54A5" w14:textId="77777777" w:rsidR="00870D6A" w:rsidRPr="003F341E" w:rsidRDefault="00870D6A" w:rsidP="00870D6A">
                  <w:pPr>
                    <w:rPr>
                      <w:rFonts w:cstheme="minorHAnsi"/>
                      <w:color w:val="000000" w:themeColor="text1"/>
                      <w:szCs w:val="20"/>
                    </w:rPr>
                  </w:pPr>
                  <w:r w:rsidRPr="003F341E">
                    <w:rPr>
                      <w:rFonts w:cstheme="minorHAnsi"/>
                      <w:color w:val="000000" w:themeColor="text1"/>
                      <w:szCs w:val="20"/>
                    </w:rPr>
                    <w:t xml:space="preserve">REA, Direct Install </w:t>
                  </w:r>
                </w:p>
              </w:tc>
              <w:tc>
                <w:tcPr>
                  <w:tcW w:w="2209" w:type="pct"/>
                  <w:vAlign w:val="center"/>
                </w:tcPr>
                <w:p w14:paraId="18323E99" w14:textId="52BDC72E" w:rsidR="00870D6A" w:rsidRPr="003F341E" w:rsidRDefault="00870D6A" w:rsidP="00870D6A">
                  <w:pPr>
                    <w:rPr>
                      <w:rFonts w:cstheme="minorHAnsi"/>
                      <w:color w:val="000000" w:themeColor="text1"/>
                      <w:szCs w:val="20"/>
                    </w:rPr>
                  </w:pPr>
                  <w:r w:rsidRPr="003F341E">
                    <w:rPr>
                      <w:rFonts w:cstheme="minorHAnsi"/>
                      <w:color w:val="000000" w:themeColor="text1"/>
                      <w:szCs w:val="20"/>
                    </w:rPr>
                    <w:t>$</w:t>
                  </w:r>
                  <w:r w:rsidR="009878D9" w:rsidRPr="003F341E">
                    <w:rPr>
                      <w:rFonts w:cstheme="minorHAnsi"/>
                      <w:color w:val="000000" w:themeColor="text1"/>
                      <w:szCs w:val="20"/>
                    </w:rPr>
                    <w:t>7.27</w:t>
                  </w:r>
                  <w:r w:rsidRPr="003F341E">
                    <w:rPr>
                      <w:rFonts w:cstheme="minorHAnsi"/>
                      <w:color w:val="000000" w:themeColor="text1"/>
                      <w:szCs w:val="20"/>
                    </w:rPr>
                    <w:t>/fixture + $</w:t>
                  </w:r>
                  <w:r w:rsidR="009878D9" w:rsidRPr="003F341E">
                    <w:rPr>
                      <w:rFonts w:cstheme="minorHAnsi"/>
                      <w:color w:val="000000" w:themeColor="text1"/>
                      <w:szCs w:val="20"/>
                    </w:rPr>
                    <w:t>7.00</w:t>
                  </w:r>
                  <w:r w:rsidRPr="003F341E">
                    <w:rPr>
                      <w:rFonts w:cstheme="minorHAnsi"/>
                      <w:color w:val="000000" w:themeColor="text1"/>
                      <w:szCs w:val="20"/>
                    </w:rPr>
                    <w:t>/</w:t>
                  </w:r>
                  <w:r w:rsidR="009878D9" w:rsidRPr="003F341E">
                    <w:rPr>
                      <w:rFonts w:cstheme="minorHAnsi"/>
                      <w:color w:val="000000" w:themeColor="text1"/>
                      <w:szCs w:val="20"/>
                    </w:rPr>
                    <w:t>labor</w:t>
                  </w:r>
                  <w:r w:rsidRPr="003F341E">
                    <w:rPr>
                      <w:rFonts w:cstheme="minorHAnsi"/>
                      <w:color w:val="000000" w:themeColor="text1"/>
                      <w:szCs w:val="20"/>
                    </w:rPr>
                    <w:t xml:space="preserve"> = </w:t>
                  </w:r>
                  <w:r w:rsidRPr="003F341E">
                    <w:rPr>
                      <w:rFonts w:cstheme="minorHAnsi"/>
                      <w:b/>
                      <w:color w:val="000000" w:themeColor="text1"/>
                      <w:szCs w:val="20"/>
                    </w:rPr>
                    <w:t>$</w:t>
                  </w:r>
                  <w:r w:rsidR="009878D9" w:rsidRPr="003F341E">
                    <w:rPr>
                      <w:rFonts w:cstheme="minorHAnsi"/>
                      <w:b/>
                      <w:color w:val="000000" w:themeColor="text1"/>
                      <w:szCs w:val="20"/>
                    </w:rPr>
                    <w:t>14.27</w:t>
                  </w:r>
                  <w:r w:rsidRPr="003F341E">
                    <w:rPr>
                      <w:rFonts w:cstheme="minorHAnsi"/>
                      <w:b/>
                      <w:color w:val="000000" w:themeColor="text1"/>
                      <w:szCs w:val="20"/>
                    </w:rPr>
                    <w:t xml:space="preserve"> per fixture</w:t>
                  </w:r>
                </w:p>
              </w:tc>
              <w:tc>
                <w:tcPr>
                  <w:tcW w:w="892" w:type="pct"/>
                  <w:vAlign w:val="center"/>
                </w:tcPr>
                <w:p w14:paraId="5A982269" w14:textId="2E6883CF" w:rsidR="00870D6A" w:rsidRPr="007D04D7" w:rsidRDefault="00870D6A" w:rsidP="00870D6A">
                  <w:pPr>
                    <w:rPr>
                      <w:rFonts w:cstheme="minorHAnsi"/>
                      <w:color w:val="000000" w:themeColor="text1"/>
                      <w:sz w:val="22"/>
                      <w:szCs w:val="22"/>
                    </w:rPr>
                  </w:pPr>
                  <w:r w:rsidRPr="007D04D7">
                    <w:rPr>
                      <w:rFonts w:cstheme="minorHAnsi"/>
                      <w:color w:val="000000" w:themeColor="text1"/>
                      <w:sz w:val="22"/>
                      <w:szCs w:val="22"/>
                    </w:rPr>
                    <w:t>$</w:t>
                  </w:r>
                  <w:r w:rsidR="009878D9">
                    <w:rPr>
                      <w:rFonts w:cstheme="minorHAnsi"/>
                      <w:color w:val="000000" w:themeColor="text1"/>
                      <w:sz w:val="22"/>
                      <w:szCs w:val="22"/>
                    </w:rPr>
                    <w:t>14.27</w:t>
                  </w:r>
                  <w:r w:rsidRPr="007D04D7">
                    <w:rPr>
                      <w:rFonts w:cstheme="minorHAnsi"/>
                      <w:color w:val="000000" w:themeColor="text1"/>
                      <w:sz w:val="22"/>
                      <w:szCs w:val="22"/>
                    </w:rPr>
                    <w:t xml:space="preserve"> per fixture</w:t>
                  </w:r>
                </w:p>
              </w:tc>
              <w:tc>
                <w:tcPr>
                  <w:tcW w:w="668" w:type="pct"/>
                  <w:vAlign w:val="center"/>
                </w:tcPr>
                <w:p w14:paraId="196D0424" w14:textId="77777777" w:rsidR="00870D6A" w:rsidRPr="007D04D7" w:rsidRDefault="00870D6A" w:rsidP="00870D6A">
                  <w:pPr>
                    <w:rPr>
                      <w:rFonts w:cstheme="minorHAnsi"/>
                      <w:color w:val="000000" w:themeColor="text1"/>
                      <w:sz w:val="22"/>
                      <w:szCs w:val="22"/>
                    </w:rPr>
                  </w:pPr>
                  <w:r w:rsidRPr="007D04D7">
                    <w:rPr>
                      <w:rFonts w:cstheme="minorHAnsi"/>
                      <w:color w:val="000000" w:themeColor="text1"/>
                      <w:sz w:val="22"/>
                      <w:szCs w:val="22"/>
                    </w:rPr>
                    <w:t>N/A</w:t>
                  </w:r>
                </w:p>
              </w:tc>
            </w:tr>
            <w:tr w:rsidR="009878D9" w:rsidRPr="007D04D7" w14:paraId="6E65DE33" w14:textId="77777777" w:rsidTr="00843963">
              <w:tc>
                <w:tcPr>
                  <w:tcW w:w="1231" w:type="pct"/>
                  <w:vAlign w:val="center"/>
                </w:tcPr>
                <w:p w14:paraId="6C2F2A89" w14:textId="75848C5C" w:rsidR="009878D9" w:rsidRPr="003F341E" w:rsidRDefault="009878D9" w:rsidP="009878D9">
                  <w:pPr>
                    <w:rPr>
                      <w:rFonts w:cstheme="minorHAnsi"/>
                      <w:color w:val="000000" w:themeColor="text1"/>
                      <w:szCs w:val="20"/>
                    </w:rPr>
                  </w:pPr>
                  <w:r w:rsidRPr="003F341E">
                    <w:rPr>
                      <w:rFonts w:cstheme="minorHAnsi"/>
                      <w:color w:val="000000" w:themeColor="text1"/>
                      <w:szCs w:val="20"/>
                    </w:rPr>
                    <w:t xml:space="preserve">REA, PreRebDown </w:t>
                  </w:r>
                </w:p>
              </w:tc>
              <w:tc>
                <w:tcPr>
                  <w:tcW w:w="2209" w:type="pct"/>
                  <w:vAlign w:val="center"/>
                </w:tcPr>
                <w:p w14:paraId="687FA854" w14:textId="26824C27" w:rsidR="009878D9" w:rsidRPr="003F341E" w:rsidRDefault="009878D9" w:rsidP="009878D9">
                  <w:pPr>
                    <w:rPr>
                      <w:rFonts w:cstheme="minorHAnsi"/>
                      <w:color w:val="000000" w:themeColor="text1"/>
                      <w:szCs w:val="20"/>
                    </w:rPr>
                  </w:pPr>
                  <w:r w:rsidRPr="003F341E">
                    <w:rPr>
                      <w:rFonts w:cstheme="minorHAnsi"/>
                      <w:color w:val="000000" w:themeColor="text1"/>
                      <w:szCs w:val="20"/>
                    </w:rPr>
                    <w:t xml:space="preserve">$7.27/fixture = </w:t>
                  </w:r>
                  <w:r w:rsidRPr="003F341E">
                    <w:rPr>
                      <w:rFonts w:cstheme="minorHAnsi"/>
                      <w:b/>
                      <w:color w:val="000000" w:themeColor="text1"/>
                      <w:szCs w:val="20"/>
                    </w:rPr>
                    <w:t>$7.27 per fixture</w:t>
                  </w:r>
                </w:p>
              </w:tc>
              <w:tc>
                <w:tcPr>
                  <w:tcW w:w="892" w:type="pct"/>
                  <w:vAlign w:val="center"/>
                </w:tcPr>
                <w:p w14:paraId="0469815A" w14:textId="35278906" w:rsidR="009878D9" w:rsidRDefault="009878D9" w:rsidP="009878D9">
                  <w:pPr>
                    <w:rPr>
                      <w:rFonts w:cstheme="minorHAnsi"/>
                      <w:color w:val="000000" w:themeColor="text1"/>
                      <w:szCs w:val="22"/>
                    </w:rPr>
                  </w:pPr>
                  <w:r w:rsidRPr="007D04D7">
                    <w:rPr>
                      <w:rFonts w:cstheme="minorHAnsi"/>
                      <w:color w:val="000000" w:themeColor="text1"/>
                      <w:sz w:val="22"/>
                      <w:szCs w:val="22"/>
                    </w:rPr>
                    <w:t>$</w:t>
                  </w:r>
                  <w:r>
                    <w:rPr>
                      <w:rFonts w:cstheme="minorHAnsi"/>
                      <w:color w:val="000000" w:themeColor="text1"/>
                      <w:sz w:val="22"/>
                      <w:szCs w:val="22"/>
                    </w:rPr>
                    <w:t>7.27</w:t>
                  </w:r>
                  <w:r w:rsidRPr="007D04D7">
                    <w:rPr>
                      <w:rFonts w:cstheme="minorHAnsi"/>
                      <w:color w:val="000000" w:themeColor="text1"/>
                      <w:sz w:val="22"/>
                      <w:szCs w:val="22"/>
                    </w:rPr>
                    <w:t xml:space="preserve"> per fixture</w:t>
                  </w:r>
                </w:p>
              </w:tc>
              <w:tc>
                <w:tcPr>
                  <w:tcW w:w="668" w:type="pct"/>
                  <w:vAlign w:val="center"/>
                </w:tcPr>
                <w:p w14:paraId="5E93FD36" w14:textId="0FCAEDF6" w:rsidR="009878D9" w:rsidRPr="007D04D7" w:rsidRDefault="009878D9" w:rsidP="009878D9">
                  <w:pPr>
                    <w:rPr>
                      <w:rFonts w:cstheme="minorHAnsi"/>
                      <w:color w:val="000000" w:themeColor="text1"/>
                      <w:szCs w:val="22"/>
                    </w:rPr>
                  </w:pPr>
                  <w:r w:rsidRPr="007D04D7">
                    <w:rPr>
                      <w:rFonts w:cstheme="minorHAnsi"/>
                      <w:color w:val="000000" w:themeColor="text1"/>
                      <w:sz w:val="22"/>
                      <w:szCs w:val="22"/>
                    </w:rPr>
                    <w:t>N/A</w:t>
                  </w:r>
                </w:p>
              </w:tc>
            </w:tr>
            <w:tr w:rsidR="009878D9" w:rsidRPr="007D04D7" w14:paraId="13FA6707" w14:textId="77777777" w:rsidTr="006A7254">
              <w:tc>
                <w:tcPr>
                  <w:tcW w:w="5000" w:type="pct"/>
                  <w:gridSpan w:val="4"/>
                  <w:vAlign w:val="center"/>
                </w:tcPr>
                <w:p w14:paraId="70EA573E" w14:textId="7E172322" w:rsidR="009878D9" w:rsidRPr="003F341E" w:rsidRDefault="00857E51" w:rsidP="009878D9">
                  <w:pPr>
                    <w:rPr>
                      <w:rFonts w:cstheme="minorHAnsi"/>
                      <w:color w:val="000000" w:themeColor="text1"/>
                      <w:szCs w:val="20"/>
                    </w:rPr>
                  </w:pPr>
                  <w:r w:rsidRPr="003F341E">
                    <w:rPr>
                      <w:rFonts w:cs="Calibri"/>
                      <w:color w:val="000000" w:themeColor="text1"/>
                      <w:szCs w:val="20"/>
                    </w:rPr>
                    <w:t>Measure Cost ID: SDG-SHW-LamFlowRestrict</w:t>
                  </w:r>
                </w:p>
                <w:p w14:paraId="47228FFB" w14:textId="3D9ECA7D" w:rsidR="009878D9" w:rsidRPr="003F341E" w:rsidRDefault="009878D9" w:rsidP="009878D9">
                  <w:pPr>
                    <w:rPr>
                      <w:rFonts w:cstheme="minorHAnsi"/>
                      <w:color w:val="000000" w:themeColor="text1"/>
                      <w:szCs w:val="20"/>
                    </w:rPr>
                  </w:pPr>
                </w:p>
              </w:tc>
            </w:tr>
          </w:tbl>
          <w:p w14:paraId="2B49F81C" w14:textId="77777777" w:rsidR="00870D6A" w:rsidRPr="007D04D7" w:rsidRDefault="00870D6A" w:rsidP="00870D6A">
            <w:pPr>
              <w:pStyle w:val="Caption"/>
              <w:keepNext/>
              <w:jc w:val="center"/>
              <w:rPr>
                <w:szCs w:val="22"/>
              </w:rPr>
            </w:pPr>
          </w:p>
        </w:tc>
      </w:tr>
      <w:bookmarkEnd w:id="2"/>
    </w:tbl>
    <w:p w14:paraId="70923865" w14:textId="4F9A1EE7" w:rsidR="00963EAB" w:rsidRDefault="00963EAB" w:rsidP="007D04D7">
      <w:pPr>
        <w:jc w:val="center"/>
      </w:pPr>
    </w:p>
    <w:sectPr w:rsidR="00963EAB" w:rsidSect="00FA5C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355D9" w14:textId="77777777" w:rsidR="00843963" w:rsidRDefault="00843963" w:rsidP="00FE520B">
      <w:r>
        <w:separator/>
      </w:r>
    </w:p>
  </w:endnote>
  <w:endnote w:type="continuationSeparator" w:id="0">
    <w:p w14:paraId="5DF1BA91" w14:textId="77777777" w:rsidR="00843963" w:rsidRDefault="00843963" w:rsidP="00FE520B">
      <w:r>
        <w:continuationSeparator/>
      </w:r>
    </w:p>
  </w:endnote>
  <w:endnote w:id="1">
    <w:p w14:paraId="686B084C" w14:textId="77777777" w:rsidR="00843963" w:rsidRPr="00AE671C" w:rsidRDefault="00843963" w:rsidP="00843963">
      <w:pPr>
        <w:pStyle w:val="EndnoteText"/>
        <w:rPr>
          <w:rFonts w:asciiTheme="minorHAnsi" w:hAnsiTheme="minorHAnsi"/>
          <w:sz w:val="22"/>
          <w:szCs w:val="22"/>
        </w:rPr>
      </w:pPr>
      <w:r w:rsidRPr="00AE671C">
        <w:rPr>
          <w:rStyle w:val="EndnoteReference"/>
          <w:rFonts w:asciiTheme="minorHAnsi" w:hAnsiTheme="minorHAnsi"/>
          <w:sz w:val="22"/>
          <w:szCs w:val="22"/>
        </w:rPr>
        <w:endnoteRef/>
      </w:r>
      <w:r w:rsidRPr="00AE671C">
        <w:rPr>
          <w:rFonts w:asciiTheme="minorHAnsi" w:hAnsiTheme="minorHAnsi"/>
          <w:sz w:val="22"/>
          <w:szCs w:val="22"/>
        </w:rPr>
        <w:t xml:space="preserve"> (2015, May). Section 1226.6. </w:t>
      </w:r>
      <w:r w:rsidRPr="00AE671C">
        <w:rPr>
          <w:rFonts w:asciiTheme="minorHAnsi" w:hAnsiTheme="minorHAnsi"/>
          <w:i/>
          <w:sz w:val="22"/>
          <w:szCs w:val="22"/>
        </w:rPr>
        <w:t>Health Facility Checklist Section 1226 [OSHPD 3] Clinics</w:t>
      </w:r>
      <w:r w:rsidRPr="00AE671C">
        <w:rPr>
          <w:rFonts w:asciiTheme="minorHAnsi" w:hAnsiTheme="minorHAnsi"/>
          <w:sz w:val="22"/>
          <w:szCs w:val="22"/>
        </w:rPr>
        <w:t xml:space="preserve">. </w:t>
      </w:r>
      <w:hyperlink r:id="rId1" w:history="1">
        <w:r w:rsidRPr="00AE671C">
          <w:rPr>
            <w:rStyle w:val="Hyperlink"/>
            <w:rFonts w:asciiTheme="minorHAnsi" w:hAnsiTheme="minorHAnsi"/>
            <w:sz w:val="22"/>
            <w:szCs w:val="22"/>
          </w:rPr>
          <w:t>http://www.cpca.org/cpca2013/assets/File/Health-Center-Information/Licensing-OSHPD3/OSHPD3-Title%2024/2014-06-27-Primary%20Care%20Clinic_Checklist%20OSHPD%203.pdf</w:t>
        </w:r>
      </w:hyperlink>
    </w:p>
    <w:p w14:paraId="6D2A2E96" w14:textId="77777777" w:rsidR="00843963" w:rsidRPr="00AE671C" w:rsidRDefault="00843963" w:rsidP="00843963">
      <w:pPr>
        <w:pStyle w:val="EndnoteText"/>
        <w:rPr>
          <w:rFonts w:asciiTheme="minorHAnsi" w:hAnsiTheme="minorHAnsi"/>
          <w:sz w:val="22"/>
          <w:szCs w:val="2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80041" w14:textId="327A29A2" w:rsidR="00843963" w:rsidRPr="00E47372" w:rsidRDefault="00843963" w:rsidP="003933D2">
    <w:pPr>
      <w:pStyle w:val="Footer"/>
      <w:pBdr>
        <w:top w:val="single" w:sz="4" w:space="1" w:color="auto"/>
      </w:pBdr>
      <w:rPr>
        <w:b/>
      </w:rPr>
    </w:pPr>
    <w:r>
      <w:rPr>
        <w:b/>
      </w:rPr>
      <w:t xml:space="preserve">Short Form Workpaper </w:t>
    </w:r>
    <w:sdt>
      <w:sdtPr>
        <w:rPr>
          <w:b/>
        </w:rPr>
        <w:alias w:val="Title"/>
        <w:tag w:val=""/>
        <w:id w:val="-1600707824"/>
        <w:dataBinding w:prefixMappings="xmlns:ns0='http://purl.org/dc/elements/1.1/' xmlns:ns1='http://schemas.openxmlformats.org/package/2006/metadata/core-properties' " w:xpath="/ns1:coreProperties[1]/ns0:title[1]" w:storeItemID="{6C3C8BC8-F283-45AE-878A-BAB7291924A1}"/>
        <w:text/>
      </w:sdtPr>
      <w:sdtEndPr/>
      <w:sdtContent>
        <w:r>
          <w:rPr>
            <w:b/>
          </w:rPr>
          <w:t>WPSDGENRWH0015</w:t>
        </w:r>
      </w:sdtContent>
    </w:sdt>
    <w:r>
      <w:rPr>
        <w:b/>
      </w:rPr>
      <w:t>, Revision 0</w:t>
    </w:r>
    <w:r>
      <w:rPr>
        <w:b/>
      </w:rPr>
      <w:tab/>
    </w:r>
    <w:r w:rsidR="00186BBB">
      <w:rPr>
        <w:b/>
      </w:rPr>
      <w:t>January 2</w:t>
    </w:r>
    <w:r w:rsidRPr="00DC5C9B">
      <w:rPr>
        <w:b/>
      </w:rPr>
      <w:t>, 201</w:t>
    </w:r>
    <w:r w:rsidR="00186BBB">
      <w:rPr>
        <w:b/>
      </w:rPr>
      <w:t>8</w:t>
    </w:r>
  </w:p>
  <w:p w14:paraId="0AEE70B8" w14:textId="77777777" w:rsidR="00843963" w:rsidRDefault="00843963" w:rsidP="003933D2">
    <w:pPr>
      <w:pStyle w:val="Footer"/>
      <w:rPr>
        <w:b/>
      </w:rPr>
    </w:pPr>
    <w:r>
      <w:rPr>
        <w:b/>
      </w:rPr>
      <w:t>San Diego Gas &amp; Electric</w:t>
    </w:r>
  </w:p>
  <w:p w14:paraId="16284BD9" w14:textId="4A6CECF3" w:rsidR="00843963" w:rsidRDefault="00843963">
    <w:pPr>
      <w:pStyle w:val="Footer"/>
      <w:jc w:val="center"/>
    </w:pPr>
    <w:r>
      <w:t xml:space="preserve"> Page </w:t>
    </w:r>
    <w:sdt>
      <w:sdtPr>
        <w:id w:val="-41263165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86BBB">
          <w:rPr>
            <w:noProof/>
          </w:rPr>
          <w:t>2</w:t>
        </w:r>
        <w:r>
          <w:rPr>
            <w:noProof/>
          </w:rPr>
          <w:fldChar w:fldCharType="end"/>
        </w:r>
      </w:sdtContent>
    </w:sdt>
  </w:p>
  <w:p w14:paraId="22AE6ABE" w14:textId="77777777" w:rsidR="00843963" w:rsidRPr="009500DC" w:rsidRDefault="00843963" w:rsidP="00BF7104">
    <w:pPr>
      <w:pStyle w:val="Footer"/>
      <w:jc w:val="right"/>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705466" w14:textId="77777777" w:rsidR="00843963" w:rsidRDefault="00843963" w:rsidP="00FE520B">
      <w:r>
        <w:separator/>
      </w:r>
    </w:p>
  </w:footnote>
  <w:footnote w:type="continuationSeparator" w:id="0">
    <w:p w14:paraId="40C37B36" w14:textId="77777777" w:rsidR="00843963" w:rsidRDefault="00843963"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E901136"/>
    <w:lvl w:ilvl="0">
      <w:start w:val="1"/>
      <w:numFmt w:val="decimal"/>
      <w:lvlText w:val="%1."/>
      <w:lvlJc w:val="left"/>
      <w:pPr>
        <w:tabs>
          <w:tab w:val="num" w:pos="1800"/>
        </w:tabs>
        <w:ind w:left="1800" w:hanging="360"/>
      </w:pPr>
    </w:lvl>
  </w:abstractNum>
  <w:abstractNum w:abstractNumId="1" w15:restartNumberingAfterBreak="0">
    <w:nsid w:val="09D014AA"/>
    <w:multiLevelType w:val="hybridMultilevel"/>
    <w:tmpl w:val="D9703A46"/>
    <w:lvl w:ilvl="0" w:tplc="286041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E50C2C"/>
    <w:multiLevelType w:val="hybridMultilevel"/>
    <w:tmpl w:val="4E72E940"/>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5C19D9"/>
    <w:multiLevelType w:val="multilevel"/>
    <w:tmpl w:val="DCAC44A6"/>
    <w:lvl w:ilvl="0">
      <w:start w:val="4"/>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4"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9047623"/>
    <w:multiLevelType w:val="hybridMultilevel"/>
    <w:tmpl w:val="DD185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666C62"/>
    <w:multiLevelType w:val="hybridMultilevel"/>
    <w:tmpl w:val="E44E2190"/>
    <w:lvl w:ilvl="0" w:tplc="E8D2676C">
      <w:start w:val="1"/>
      <w:numFmt w:val="decimal"/>
      <w:lvlText w:val="%1)"/>
      <w:lvlJc w:val="left"/>
      <w:pPr>
        <w:ind w:left="1080" w:hanging="360"/>
      </w:pPr>
      <w:rPr>
        <w:rFonts w:asciiTheme="minorHAnsi" w:eastAsia="Times New Roman" w:hAnsiTheme="minorHAns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5877138"/>
    <w:multiLevelType w:val="hybridMultilevel"/>
    <w:tmpl w:val="8AB827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pStyle w:val="WPPR2"/>
      <w:lvlText w:val="%4."/>
      <w:lvlJc w:val="left"/>
      <w:pPr>
        <w:ind w:left="2880" w:hanging="360"/>
      </w:pPr>
    </w:lvl>
    <w:lvl w:ilvl="4" w:tplc="04090019" w:tentative="1">
      <w:start w:val="1"/>
      <w:numFmt w:val="lowerLetter"/>
      <w:pStyle w:val="WPPR3"/>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A4316BA"/>
    <w:multiLevelType w:val="multilevel"/>
    <w:tmpl w:val="407435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ADF5B3C"/>
    <w:multiLevelType w:val="hybridMultilevel"/>
    <w:tmpl w:val="3CFAA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7323FF"/>
    <w:multiLevelType w:val="hybridMultilevel"/>
    <w:tmpl w:val="B3D68A70"/>
    <w:lvl w:ilvl="0" w:tplc="9C18BA7C">
      <w:start w:val="1"/>
      <w:numFmt w:val="decimal"/>
      <w:lvlText w:val="(%1)"/>
      <w:lvlJc w:val="left"/>
      <w:pPr>
        <w:ind w:left="1080" w:hanging="360"/>
      </w:pPr>
      <w:rPr>
        <w:rFonts w:cs="Times New Roman"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C881DEE"/>
    <w:multiLevelType w:val="hybridMultilevel"/>
    <w:tmpl w:val="3CFAA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4A670D"/>
    <w:multiLevelType w:val="hybridMultilevel"/>
    <w:tmpl w:val="49CA2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E470C8"/>
    <w:multiLevelType w:val="hybridMultilevel"/>
    <w:tmpl w:val="0B984338"/>
    <w:lvl w:ilvl="0" w:tplc="0409000F">
      <w:start w:val="1"/>
      <w:numFmt w:val="decimal"/>
      <w:lvlText w:val="%1."/>
      <w:lvlJc w:val="left"/>
      <w:pPr>
        <w:ind w:left="720" w:hanging="360"/>
      </w:pPr>
      <w:rPr>
        <w:rFonts w:hint="default"/>
      </w:rPr>
    </w:lvl>
    <w:lvl w:ilvl="1" w:tplc="0E064076">
      <w:start w:val="1"/>
      <w:numFmt w:val="decimal"/>
      <w:lvlText w:val="%2."/>
      <w:lvlJc w:val="left"/>
      <w:pPr>
        <w:ind w:left="1440" w:hanging="360"/>
      </w:pPr>
      <w:rPr>
        <w:sz w:val="22"/>
        <w:szCs w:val="22"/>
      </w:rPr>
    </w:lvl>
    <w:lvl w:ilvl="2" w:tplc="93C8D7F2">
      <w:start w:val="1"/>
      <w:numFmt w:val="lowerLetter"/>
      <w:lvlText w:val="%3."/>
      <w:lvlJc w:val="left"/>
      <w:pPr>
        <w:ind w:left="2160" w:hanging="180"/>
      </w:pPr>
      <w:rPr>
        <w:sz w:val="22"/>
        <w:szCs w:val="22"/>
      </w:rPr>
    </w:lvl>
    <w:lvl w:ilvl="3" w:tplc="0409001B">
      <w:start w:val="1"/>
      <w:numFmt w:val="lowerRoman"/>
      <w:lvlText w:val="%4."/>
      <w:lvlJc w:val="right"/>
      <w:pPr>
        <w:ind w:left="2880" w:hanging="360"/>
      </w:pPr>
    </w:lvl>
    <w:lvl w:ilvl="4" w:tplc="04090005">
      <w:start w:val="1"/>
      <w:numFmt w:val="bullet"/>
      <w:lvlText w:val=""/>
      <w:lvlJc w:val="left"/>
      <w:pPr>
        <w:ind w:left="3600" w:hanging="360"/>
      </w:pPr>
      <w:rPr>
        <w:rFonts w:ascii="Wingdings" w:hAnsi="Wingding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21731C"/>
    <w:multiLevelType w:val="hybridMultilevel"/>
    <w:tmpl w:val="8F5EA138"/>
    <w:lvl w:ilvl="0" w:tplc="6D1C5CCC">
      <w:start w:val="3"/>
      <w:numFmt w:val="decimal"/>
      <w:pStyle w:val="TBL"/>
      <w:lvlText w:val="Table %1 - "/>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696663"/>
    <w:multiLevelType w:val="hybridMultilevel"/>
    <w:tmpl w:val="494A2B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779511A"/>
    <w:multiLevelType w:val="hybridMultilevel"/>
    <w:tmpl w:val="14EE3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6B48CB"/>
    <w:multiLevelType w:val="hybridMultilevel"/>
    <w:tmpl w:val="3CFAA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7F597A"/>
    <w:multiLevelType w:val="hybridMultilevel"/>
    <w:tmpl w:val="F1F015EA"/>
    <w:lvl w:ilvl="0" w:tplc="D6F068EA">
      <w:start w:val="1"/>
      <w:numFmt w:val="decimal"/>
      <w:lvlText w:val="Table %1 -"/>
      <w:lvlJc w:val="left"/>
      <w:pPr>
        <w:tabs>
          <w:tab w:val="num" w:pos="1080"/>
        </w:tabs>
        <w:ind w:left="1080" w:hanging="360"/>
      </w:pPr>
      <w:rPr>
        <w:rFonts w:ascii="Arial" w:hAnsi="Arial" w:hint="default"/>
        <w:b/>
        <w:i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5353937"/>
    <w:multiLevelType w:val="hybridMultilevel"/>
    <w:tmpl w:val="2F16C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9"/>
  </w:num>
  <w:num w:numId="3">
    <w:abstractNumId w:val="4"/>
  </w:num>
  <w:num w:numId="4">
    <w:abstractNumId w:val="15"/>
  </w:num>
  <w:num w:numId="5">
    <w:abstractNumId w:val="16"/>
  </w:num>
  <w:num w:numId="6">
    <w:abstractNumId w:val="3"/>
  </w:num>
  <w:num w:numId="7">
    <w:abstractNumId w:val="19"/>
  </w:num>
  <w:num w:numId="8">
    <w:abstractNumId w:val="23"/>
  </w:num>
  <w:num w:numId="9">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0">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1">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2">
    <w:abstractNumId w:val="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4">
    <w:abstractNumId w:val="2"/>
  </w:num>
  <w:num w:numId="15">
    <w:abstractNumId w:val="3"/>
    <w:lvlOverride w:ilvl="0">
      <w:startOverride w:val="1"/>
    </w:lvlOverride>
    <w:lvlOverride w:ilvl="1">
      <w:startOverride w:val="1"/>
    </w:lvlOverride>
    <w:lvlOverride w:ilvl="2">
      <w:startOverride w:val="1"/>
    </w:lvlOverride>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0"/>
  </w:num>
  <w:num w:numId="20">
    <w:abstractNumId w:val="25"/>
  </w:num>
  <w:num w:numId="21">
    <w:abstractNumId w:val="5"/>
  </w:num>
  <w:num w:numId="22">
    <w:abstractNumId w:val="12"/>
  </w:num>
  <w:num w:numId="23">
    <w:abstractNumId w:val="20"/>
  </w:num>
  <w:num w:numId="24">
    <w:abstractNumId w:val="14"/>
  </w:num>
  <w:num w:numId="25">
    <w:abstractNumId w:val="22"/>
  </w:num>
  <w:num w:numId="26">
    <w:abstractNumId w:val="17"/>
  </w:num>
  <w:num w:numId="27">
    <w:abstractNumId w:val="21"/>
  </w:num>
  <w:num w:numId="28">
    <w:abstractNumId w:val="13"/>
  </w:num>
  <w:num w:numId="29">
    <w:abstractNumId w:val="18"/>
  </w:num>
  <w:num w:numId="30">
    <w:abstractNumId w:val="24"/>
  </w:num>
  <w:num w:numId="31">
    <w:abstractNumId w:val="6"/>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14A11"/>
    <w:rsid w:val="00050C01"/>
    <w:rsid w:val="00052743"/>
    <w:rsid w:val="00052CE4"/>
    <w:rsid w:val="000821DF"/>
    <w:rsid w:val="000A602F"/>
    <w:rsid w:val="000B17A7"/>
    <w:rsid w:val="000B20FE"/>
    <w:rsid w:val="000E2E9B"/>
    <w:rsid w:val="000F5531"/>
    <w:rsid w:val="000F72EF"/>
    <w:rsid w:val="001104CA"/>
    <w:rsid w:val="0011063E"/>
    <w:rsid w:val="001158E9"/>
    <w:rsid w:val="00125989"/>
    <w:rsid w:val="001259FE"/>
    <w:rsid w:val="00174990"/>
    <w:rsid w:val="0018635C"/>
    <w:rsid w:val="00186BBB"/>
    <w:rsid w:val="001879C7"/>
    <w:rsid w:val="00191296"/>
    <w:rsid w:val="00192ACF"/>
    <w:rsid w:val="00193E56"/>
    <w:rsid w:val="001953D4"/>
    <w:rsid w:val="00196CA4"/>
    <w:rsid w:val="00197CFA"/>
    <w:rsid w:val="001B3C29"/>
    <w:rsid w:val="001D3AFC"/>
    <w:rsid w:val="001E4B3A"/>
    <w:rsid w:val="001E5E5C"/>
    <w:rsid w:val="001F21C7"/>
    <w:rsid w:val="002057A3"/>
    <w:rsid w:val="002137EC"/>
    <w:rsid w:val="00217BE2"/>
    <w:rsid w:val="00226262"/>
    <w:rsid w:val="00236DA6"/>
    <w:rsid w:val="00275512"/>
    <w:rsid w:val="002A33F6"/>
    <w:rsid w:val="002A4EAA"/>
    <w:rsid w:val="002C3A20"/>
    <w:rsid w:val="002C7FB3"/>
    <w:rsid w:val="00316680"/>
    <w:rsid w:val="00353ECF"/>
    <w:rsid w:val="003933D2"/>
    <w:rsid w:val="003A7B4E"/>
    <w:rsid w:val="003C4D88"/>
    <w:rsid w:val="003C681B"/>
    <w:rsid w:val="003D3517"/>
    <w:rsid w:val="003D3CB0"/>
    <w:rsid w:val="003E122A"/>
    <w:rsid w:val="003E6FA5"/>
    <w:rsid w:val="003F341E"/>
    <w:rsid w:val="00427A32"/>
    <w:rsid w:val="00434029"/>
    <w:rsid w:val="00437BE6"/>
    <w:rsid w:val="004537B4"/>
    <w:rsid w:val="0046316A"/>
    <w:rsid w:val="00490B28"/>
    <w:rsid w:val="004B1B5F"/>
    <w:rsid w:val="004C44B9"/>
    <w:rsid w:val="004F0F5B"/>
    <w:rsid w:val="004F2982"/>
    <w:rsid w:val="00500D21"/>
    <w:rsid w:val="00504629"/>
    <w:rsid w:val="00505172"/>
    <w:rsid w:val="0053719E"/>
    <w:rsid w:val="00542511"/>
    <w:rsid w:val="00547A0B"/>
    <w:rsid w:val="00574F70"/>
    <w:rsid w:val="005815D4"/>
    <w:rsid w:val="0059117D"/>
    <w:rsid w:val="005B2619"/>
    <w:rsid w:val="005B439A"/>
    <w:rsid w:val="005C2962"/>
    <w:rsid w:val="005E7861"/>
    <w:rsid w:val="005F6886"/>
    <w:rsid w:val="006049AE"/>
    <w:rsid w:val="006063BE"/>
    <w:rsid w:val="0062702B"/>
    <w:rsid w:val="00636490"/>
    <w:rsid w:val="00654030"/>
    <w:rsid w:val="006843C6"/>
    <w:rsid w:val="00684ABA"/>
    <w:rsid w:val="00692BF3"/>
    <w:rsid w:val="006A6EAE"/>
    <w:rsid w:val="006A7254"/>
    <w:rsid w:val="006B2014"/>
    <w:rsid w:val="006B5381"/>
    <w:rsid w:val="006C514F"/>
    <w:rsid w:val="006E2AF2"/>
    <w:rsid w:val="0070412B"/>
    <w:rsid w:val="00711962"/>
    <w:rsid w:val="007123A8"/>
    <w:rsid w:val="007129E3"/>
    <w:rsid w:val="00724DE2"/>
    <w:rsid w:val="0074209B"/>
    <w:rsid w:val="00754473"/>
    <w:rsid w:val="00763E52"/>
    <w:rsid w:val="00776B39"/>
    <w:rsid w:val="007810E3"/>
    <w:rsid w:val="007B32FD"/>
    <w:rsid w:val="007D04D7"/>
    <w:rsid w:val="007F28EB"/>
    <w:rsid w:val="007F4CEB"/>
    <w:rsid w:val="007F6B28"/>
    <w:rsid w:val="0080699B"/>
    <w:rsid w:val="008301C9"/>
    <w:rsid w:val="0083111B"/>
    <w:rsid w:val="00843963"/>
    <w:rsid w:val="0084491B"/>
    <w:rsid w:val="00857E51"/>
    <w:rsid w:val="00861B74"/>
    <w:rsid w:val="00867C9A"/>
    <w:rsid w:val="00870D6A"/>
    <w:rsid w:val="008733BD"/>
    <w:rsid w:val="008C3D1E"/>
    <w:rsid w:val="008D560C"/>
    <w:rsid w:val="008E0122"/>
    <w:rsid w:val="008E784F"/>
    <w:rsid w:val="009452F7"/>
    <w:rsid w:val="009544BA"/>
    <w:rsid w:val="009604A3"/>
    <w:rsid w:val="00963A45"/>
    <w:rsid w:val="00963EAB"/>
    <w:rsid w:val="00982C1F"/>
    <w:rsid w:val="0098601C"/>
    <w:rsid w:val="009878D9"/>
    <w:rsid w:val="009A0721"/>
    <w:rsid w:val="009A0F3E"/>
    <w:rsid w:val="009A57F0"/>
    <w:rsid w:val="009B29D0"/>
    <w:rsid w:val="009B3CEE"/>
    <w:rsid w:val="009D5C08"/>
    <w:rsid w:val="00A16023"/>
    <w:rsid w:val="00A40890"/>
    <w:rsid w:val="00A43405"/>
    <w:rsid w:val="00A54587"/>
    <w:rsid w:val="00A56374"/>
    <w:rsid w:val="00A573B4"/>
    <w:rsid w:val="00A64AB4"/>
    <w:rsid w:val="00A75EDC"/>
    <w:rsid w:val="00A833B9"/>
    <w:rsid w:val="00AB537D"/>
    <w:rsid w:val="00AD41FF"/>
    <w:rsid w:val="00AD4275"/>
    <w:rsid w:val="00AD5211"/>
    <w:rsid w:val="00B044FB"/>
    <w:rsid w:val="00B1694E"/>
    <w:rsid w:val="00B275E9"/>
    <w:rsid w:val="00B663D0"/>
    <w:rsid w:val="00B76B3E"/>
    <w:rsid w:val="00B86725"/>
    <w:rsid w:val="00BA08D7"/>
    <w:rsid w:val="00BA188B"/>
    <w:rsid w:val="00BB5EFE"/>
    <w:rsid w:val="00BE7F63"/>
    <w:rsid w:val="00BF7104"/>
    <w:rsid w:val="00C079D4"/>
    <w:rsid w:val="00C13FDE"/>
    <w:rsid w:val="00C201B9"/>
    <w:rsid w:val="00C361B3"/>
    <w:rsid w:val="00C8339F"/>
    <w:rsid w:val="00C84A06"/>
    <w:rsid w:val="00C91AC2"/>
    <w:rsid w:val="00C936FB"/>
    <w:rsid w:val="00CB11C9"/>
    <w:rsid w:val="00CC12EC"/>
    <w:rsid w:val="00CD4890"/>
    <w:rsid w:val="00CD5F37"/>
    <w:rsid w:val="00CE25BE"/>
    <w:rsid w:val="00CE68BB"/>
    <w:rsid w:val="00CF0DA9"/>
    <w:rsid w:val="00D172E6"/>
    <w:rsid w:val="00D17EAB"/>
    <w:rsid w:val="00D35C9C"/>
    <w:rsid w:val="00D41500"/>
    <w:rsid w:val="00D60240"/>
    <w:rsid w:val="00D619EC"/>
    <w:rsid w:val="00D63331"/>
    <w:rsid w:val="00D67814"/>
    <w:rsid w:val="00D75EED"/>
    <w:rsid w:val="00D77F05"/>
    <w:rsid w:val="00DB6775"/>
    <w:rsid w:val="00DC53A4"/>
    <w:rsid w:val="00DC7417"/>
    <w:rsid w:val="00DF6A32"/>
    <w:rsid w:val="00DF6FA0"/>
    <w:rsid w:val="00E00DCC"/>
    <w:rsid w:val="00E041B5"/>
    <w:rsid w:val="00E40E43"/>
    <w:rsid w:val="00E56CE7"/>
    <w:rsid w:val="00E70363"/>
    <w:rsid w:val="00E77D27"/>
    <w:rsid w:val="00E93B15"/>
    <w:rsid w:val="00EB0C05"/>
    <w:rsid w:val="00EC20C1"/>
    <w:rsid w:val="00ED4597"/>
    <w:rsid w:val="00EE19D6"/>
    <w:rsid w:val="00F117C6"/>
    <w:rsid w:val="00F11AF0"/>
    <w:rsid w:val="00F177CE"/>
    <w:rsid w:val="00F55CAE"/>
    <w:rsid w:val="00F56D41"/>
    <w:rsid w:val="00F67972"/>
    <w:rsid w:val="00F77684"/>
    <w:rsid w:val="00F77C08"/>
    <w:rsid w:val="00F90D2E"/>
    <w:rsid w:val="00F934EC"/>
    <w:rsid w:val="00F95AC4"/>
    <w:rsid w:val="00FA1A85"/>
    <w:rsid w:val="00FA1D3D"/>
    <w:rsid w:val="00FA5C27"/>
    <w:rsid w:val="00FC0E20"/>
    <w:rsid w:val="00FE5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6EB2E42"/>
  <w15:docId w15:val="{DE1B18E3-3701-46B8-94EE-2FBF32A23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F6797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table" w:styleId="TableContemporary">
    <w:name w:val="Table Contemporary"/>
    <w:aliases w:val="WP Table"/>
    <w:basedOn w:val="TableNormal"/>
    <w:rsid w:val="00500D2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RT">
    <w:name w:val="ART"/>
    <w:basedOn w:val="Normal"/>
    <w:next w:val="PR1"/>
    <w:rsid w:val="00A64AB4"/>
    <w:pPr>
      <w:numPr>
        <w:ilvl w:val="1"/>
        <w:numId w:val="6"/>
      </w:numPr>
      <w:suppressAutoHyphens/>
      <w:spacing w:before="240"/>
      <w:outlineLvl w:val="1"/>
    </w:pPr>
    <w:rPr>
      <w:rFonts w:ascii="Arial" w:eastAsia="Batang" w:hAnsi="Arial"/>
      <w:b/>
      <w:caps/>
      <w:sz w:val="20"/>
      <w:szCs w:val="20"/>
    </w:rPr>
  </w:style>
  <w:style w:type="paragraph" w:customStyle="1" w:styleId="PR1">
    <w:name w:val="PR1"/>
    <w:basedOn w:val="ART"/>
    <w:rsid w:val="00A64AB4"/>
    <w:pPr>
      <w:numPr>
        <w:ilvl w:val="2"/>
      </w:numPr>
      <w:outlineLvl w:val="2"/>
    </w:pPr>
    <w:rPr>
      <w:b w:val="0"/>
      <w:caps w:val="0"/>
    </w:rPr>
  </w:style>
  <w:style w:type="paragraph" w:customStyle="1" w:styleId="PR2">
    <w:name w:val="PR2"/>
    <w:basedOn w:val="PR1"/>
    <w:rsid w:val="00A64AB4"/>
    <w:pPr>
      <w:numPr>
        <w:ilvl w:val="3"/>
      </w:numPr>
      <w:spacing w:before="0"/>
      <w:outlineLvl w:val="3"/>
    </w:pPr>
  </w:style>
  <w:style w:type="paragraph" w:customStyle="1" w:styleId="PR3">
    <w:name w:val="PR3"/>
    <w:basedOn w:val="PR1"/>
    <w:rsid w:val="00A64AB4"/>
    <w:pPr>
      <w:numPr>
        <w:ilvl w:val="4"/>
      </w:numPr>
      <w:spacing w:before="0"/>
      <w:outlineLvl w:val="4"/>
    </w:pPr>
  </w:style>
  <w:style w:type="paragraph" w:customStyle="1" w:styleId="PR4">
    <w:name w:val="PR4"/>
    <w:basedOn w:val="PR1"/>
    <w:rsid w:val="00A64AB4"/>
    <w:pPr>
      <w:numPr>
        <w:ilvl w:val="5"/>
      </w:numPr>
      <w:tabs>
        <w:tab w:val="left" w:pos="2448"/>
      </w:tabs>
      <w:spacing w:before="0"/>
      <w:outlineLvl w:val="5"/>
    </w:pPr>
  </w:style>
  <w:style w:type="paragraph" w:customStyle="1" w:styleId="PR5">
    <w:name w:val="PR5"/>
    <w:basedOn w:val="PR1"/>
    <w:rsid w:val="00A64AB4"/>
    <w:pPr>
      <w:numPr>
        <w:ilvl w:val="6"/>
      </w:numPr>
      <w:spacing w:before="0"/>
      <w:outlineLvl w:val="6"/>
    </w:pPr>
  </w:style>
  <w:style w:type="paragraph" w:customStyle="1" w:styleId="PR6">
    <w:name w:val="PR6"/>
    <w:basedOn w:val="PR1"/>
    <w:rsid w:val="00A64AB4"/>
    <w:pPr>
      <w:numPr>
        <w:ilvl w:val="7"/>
      </w:numPr>
      <w:tabs>
        <w:tab w:val="left" w:pos="3744"/>
      </w:tabs>
      <w:spacing w:before="0"/>
      <w:outlineLvl w:val="7"/>
    </w:pPr>
  </w:style>
  <w:style w:type="paragraph" w:customStyle="1" w:styleId="PR7">
    <w:name w:val="PR7"/>
    <w:basedOn w:val="PR6"/>
    <w:rsid w:val="00A64AB4"/>
    <w:pPr>
      <w:numPr>
        <w:ilvl w:val="8"/>
      </w:numPr>
      <w:tabs>
        <w:tab w:val="left" w:pos="4464"/>
      </w:tabs>
    </w:pPr>
  </w:style>
  <w:style w:type="paragraph" w:customStyle="1" w:styleId="TBL">
    <w:name w:val="TBL"/>
    <w:rsid w:val="00A64AB4"/>
    <w:pPr>
      <w:numPr>
        <w:numId w:val="7"/>
      </w:numPr>
      <w:spacing w:before="120" w:after="120" w:line="240" w:lineRule="auto"/>
      <w:jc w:val="center"/>
    </w:pPr>
    <w:rPr>
      <w:rFonts w:ascii="Arial" w:eastAsia="Batang" w:hAnsi="Arial" w:cs="Times New Roman"/>
      <w:b/>
      <w:sz w:val="20"/>
      <w:szCs w:val="20"/>
    </w:rPr>
  </w:style>
  <w:style w:type="character" w:styleId="Hyperlink">
    <w:name w:val="Hyperlink"/>
    <w:basedOn w:val="DefaultParagraphFont"/>
    <w:uiPriority w:val="99"/>
    <w:rsid w:val="00A64AB4"/>
    <w:rPr>
      <w:rFonts w:cs="Times New Roman"/>
      <w:color w:val="0000FF"/>
      <w:u w:val="single"/>
    </w:rPr>
  </w:style>
  <w:style w:type="paragraph" w:customStyle="1" w:styleId="Normal1">
    <w:name w:val="Normal1"/>
    <w:basedOn w:val="Normal"/>
    <w:rsid w:val="00A64AB4"/>
    <w:pPr>
      <w:overflowPunct w:val="0"/>
      <w:autoSpaceDE w:val="0"/>
      <w:autoSpaceDN w:val="0"/>
      <w:adjustRightInd w:val="0"/>
      <w:spacing w:after="120" w:line="360" w:lineRule="atLeast"/>
      <w:textAlignment w:val="baseline"/>
    </w:pPr>
    <w:rPr>
      <w:rFonts w:ascii="Times New Roman" w:eastAsia="Batang" w:hAnsi="Times New Roman"/>
      <w:szCs w:val="20"/>
    </w:rPr>
  </w:style>
  <w:style w:type="paragraph" w:customStyle="1" w:styleId="WPSCT">
    <w:name w:val="WPSCT"/>
    <w:basedOn w:val="Normal"/>
    <w:next w:val="ART"/>
    <w:qFormat/>
    <w:rsid w:val="00A64AB4"/>
    <w:pPr>
      <w:numPr>
        <w:numId w:val="6"/>
      </w:numPr>
      <w:suppressAutoHyphens/>
      <w:spacing w:before="240"/>
      <w:outlineLvl w:val="0"/>
    </w:pPr>
    <w:rPr>
      <w:rFonts w:ascii="Arial" w:eastAsia="Batang" w:hAnsi="Arial"/>
      <w:b/>
      <w:caps/>
      <w:sz w:val="20"/>
      <w:szCs w:val="20"/>
    </w:rPr>
  </w:style>
  <w:style w:type="paragraph" w:customStyle="1" w:styleId="WPART">
    <w:name w:val="WPART"/>
    <w:basedOn w:val="ART"/>
    <w:qFormat/>
    <w:rsid w:val="00A64AB4"/>
    <w:pPr>
      <w:keepNext/>
    </w:pPr>
  </w:style>
  <w:style w:type="paragraph" w:customStyle="1" w:styleId="WPPR1">
    <w:name w:val="WPPR1"/>
    <w:basedOn w:val="PR1"/>
    <w:qFormat/>
    <w:rsid w:val="00A64AB4"/>
  </w:style>
  <w:style w:type="paragraph" w:customStyle="1" w:styleId="Vertical">
    <w:name w:val="Vertical"/>
    <w:basedOn w:val="Normal1"/>
    <w:qFormat/>
    <w:rsid w:val="00A64AB4"/>
    <w:pPr>
      <w:spacing w:line="240" w:lineRule="auto"/>
      <w:jc w:val="center"/>
    </w:pPr>
    <w:rPr>
      <w:rFonts w:ascii="Arial" w:eastAsia="Times New Roman" w:hAnsi="Arial"/>
      <w:sz w:val="20"/>
    </w:rPr>
  </w:style>
  <w:style w:type="paragraph" w:customStyle="1" w:styleId="WPPR2">
    <w:name w:val="WPPR2"/>
    <w:basedOn w:val="PR2"/>
    <w:qFormat/>
    <w:rsid w:val="005815D4"/>
    <w:pPr>
      <w:numPr>
        <w:numId w:val="1"/>
      </w:numPr>
    </w:pPr>
  </w:style>
  <w:style w:type="paragraph" w:customStyle="1" w:styleId="WPPR3">
    <w:name w:val="WPPR3"/>
    <w:basedOn w:val="PR3"/>
    <w:qFormat/>
    <w:rsid w:val="005815D4"/>
    <w:pPr>
      <w:numPr>
        <w:numId w:val="1"/>
      </w:numPr>
    </w:pPr>
  </w:style>
  <w:style w:type="character" w:styleId="EndnoteReference">
    <w:name w:val="endnote reference"/>
    <w:basedOn w:val="DefaultParagraphFont"/>
    <w:rsid w:val="00A64AB4"/>
    <w:rPr>
      <w:vertAlign w:val="superscript"/>
    </w:rPr>
  </w:style>
  <w:style w:type="paragraph" w:styleId="FootnoteText">
    <w:name w:val="footnote text"/>
    <w:basedOn w:val="Normal"/>
    <w:link w:val="FootnoteTextChar"/>
    <w:uiPriority w:val="99"/>
    <w:semiHidden/>
    <w:unhideWhenUsed/>
    <w:rsid w:val="00A64AB4"/>
    <w:rPr>
      <w:sz w:val="20"/>
      <w:szCs w:val="20"/>
    </w:rPr>
  </w:style>
  <w:style w:type="character" w:customStyle="1" w:styleId="FootnoteTextChar">
    <w:name w:val="Footnote Text Char"/>
    <w:basedOn w:val="DefaultParagraphFont"/>
    <w:link w:val="FootnoteText"/>
    <w:uiPriority w:val="99"/>
    <w:semiHidden/>
    <w:rsid w:val="00A64AB4"/>
    <w:rPr>
      <w:rFonts w:eastAsia="Times New Roman" w:cs="Times New Roman"/>
      <w:sz w:val="20"/>
      <w:szCs w:val="20"/>
    </w:rPr>
  </w:style>
  <w:style w:type="character" w:styleId="FootnoteReference">
    <w:name w:val="footnote reference"/>
    <w:basedOn w:val="DefaultParagraphFont"/>
    <w:uiPriority w:val="99"/>
    <w:semiHidden/>
    <w:unhideWhenUsed/>
    <w:rsid w:val="00A64AB4"/>
    <w:rPr>
      <w:vertAlign w:val="superscript"/>
    </w:rPr>
  </w:style>
  <w:style w:type="character" w:styleId="CommentReference">
    <w:name w:val="annotation reference"/>
    <w:basedOn w:val="DefaultParagraphFont"/>
    <w:uiPriority w:val="99"/>
    <w:semiHidden/>
    <w:unhideWhenUsed/>
    <w:rsid w:val="00A40890"/>
    <w:rPr>
      <w:sz w:val="16"/>
      <w:szCs w:val="16"/>
    </w:rPr>
  </w:style>
  <w:style w:type="paragraph" w:styleId="CommentText">
    <w:name w:val="annotation text"/>
    <w:basedOn w:val="Normal"/>
    <w:link w:val="CommentTextChar"/>
    <w:uiPriority w:val="99"/>
    <w:semiHidden/>
    <w:unhideWhenUsed/>
    <w:rsid w:val="00A40890"/>
    <w:rPr>
      <w:sz w:val="20"/>
      <w:szCs w:val="20"/>
    </w:rPr>
  </w:style>
  <w:style w:type="character" w:customStyle="1" w:styleId="CommentTextChar">
    <w:name w:val="Comment Text Char"/>
    <w:basedOn w:val="DefaultParagraphFont"/>
    <w:link w:val="CommentText"/>
    <w:uiPriority w:val="99"/>
    <w:semiHidden/>
    <w:rsid w:val="00A40890"/>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40890"/>
    <w:rPr>
      <w:b/>
      <w:bCs/>
    </w:rPr>
  </w:style>
  <w:style w:type="character" w:customStyle="1" w:styleId="CommentSubjectChar">
    <w:name w:val="Comment Subject Char"/>
    <w:basedOn w:val="CommentTextChar"/>
    <w:link w:val="CommentSubject"/>
    <w:uiPriority w:val="99"/>
    <w:semiHidden/>
    <w:rsid w:val="00A40890"/>
    <w:rPr>
      <w:rFonts w:eastAsia="Times New Roman" w:cs="Times New Roman"/>
      <w:b/>
      <w:bCs/>
      <w:sz w:val="20"/>
      <w:szCs w:val="20"/>
    </w:rPr>
  </w:style>
  <w:style w:type="paragraph" w:styleId="EndnoteText">
    <w:name w:val="endnote text"/>
    <w:basedOn w:val="Normal"/>
    <w:link w:val="EndnoteTextChar"/>
    <w:rsid w:val="00E40E43"/>
    <w:rPr>
      <w:rFonts w:ascii="Times New Roman" w:hAnsi="Times New Roman"/>
      <w:sz w:val="20"/>
      <w:szCs w:val="20"/>
    </w:rPr>
  </w:style>
  <w:style w:type="character" w:customStyle="1" w:styleId="EndnoteTextChar">
    <w:name w:val="Endnote Text Char"/>
    <w:basedOn w:val="DefaultParagraphFont"/>
    <w:link w:val="EndnoteText"/>
    <w:rsid w:val="00E40E43"/>
    <w:rPr>
      <w:rFonts w:ascii="Times New Roman" w:eastAsia="Times New Roman" w:hAnsi="Times New Roman" w:cs="Times New Roman"/>
      <w:sz w:val="20"/>
      <w:szCs w:val="20"/>
    </w:rPr>
  </w:style>
  <w:style w:type="character" w:styleId="Strong">
    <w:name w:val="Strong"/>
    <w:qFormat/>
    <w:rsid w:val="00542511"/>
    <w:rPr>
      <w:b/>
      <w:bCs/>
    </w:rPr>
  </w:style>
  <w:style w:type="table" w:customStyle="1" w:styleId="TableGrid11">
    <w:name w:val="Table Grid11"/>
    <w:basedOn w:val="TableNormal"/>
    <w:next w:val="TableGrid"/>
    <w:rsid w:val="00542511"/>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F67972"/>
    <w:rPr>
      <w:rFonts w:asciiTheme="majorHAnsi" w:eastAsiaTheme="majorEastAsia" w:hAnsiTheme="majorHAnsi" w:cstheme="majorBidi"/>
      <w:b/>
      <w:bCs/>
      <w:color w:val="4F81BD" w:themeColor="accent1"/>
      <w:szCs w:val="24"/>
    </w:rPr>
  </w:style>
  <w:style w:type="paragraph" w:styleId="NoSpacing">
    <w:name w:val="No Spacing"/>
    <w:uiPriority w:val="1"/>
    <w:qFormat/>
    <w:rsid w:val="00B169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_rels/endnotes.xml.rels><?xml version="1.0" encoding="UTF-8" standalone="yes"?>
<Relationships xmlns="http://schemas.openxmlformats.org/package/2006/relationships"><Relationship Id="rId1" Type="http://schemas.openxmlformats.org/officeDocument/2006/relationships/hyperlink" Target="http://www.cpca.org/cpca2013/assets/File/Health-Center-Information/Licensing-OSHPD3/OSHPD3-Title%2024/2014-06-27-Primary%20Care%20Clinic_Checklist%20OSHPD%203.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1C3A54D61944DBB3D63B92C982C696"/>
        <w:category>
          <w:name w:val="General"/>
          <w:gallery w:val="placeholder"/>
        </w:category>
        <w:types>
          <w:type w:val="bbPlcHdr"/>
        </w:types>
        <w:behaviors>
          <w:behavior w:val="content"/>
        </w:behaviors>
        <w:guid w:val="{F650BA68-2FED-4C03-A228-33EEEE5F70A1}"/>
      </w:docPartPr>
      <w:docPartBody>
        <w:p w:rsidR="005C5C4F" w:rsidRDefault="001F1348" w:rsidP="001F1348">
          <w:pPr>
            <w:pStyle w:val="2D1C3A54D61944DBB3D63B92C982C696"/>
          </w:pPr>
          <w:r w:rsidRPr="0033327F">
            <w:rPr>
              <w:rStyle w:val="PlaceholderText"/>
            </w:rPr>
            <w:t>[Title]</w:t>
          </w:r>
        </w:p>
      </w:docPartBody>
    </w:docPart>
    <w:docPart>
      <w:docPartPr>
        <w:name w:val="5420FAF41CED451EAB8369D8BC2C0B60"/>
        <w:category>
          <w:name w:val="General"/>
          <w:gallery w:val="placeholder"/>
        </w:category>
        <w:types>
          <w:type w:val="bbPlcHdr"/>
        </w:types>
        <w:behaviors>
          <w:behavior w:val="content"/>
        </w:behaviors>
        <w:guid w:val="{07636B28-D62B-4A70-8ACE-F496EEC0C22D}"/>
      </w:docPartPr>
      <w:docPartBody>
        <w:p w:rsidR="005C5C4F" w:rsidRDefault="001F1348" w:rsidP="001F1348">
          <w:pPr>
            <w:pStyle w:val="5420FAF41CED451EAB8369D8BC2C0B60"/>
          </w:pPr>
          <w:r w:rsidRPr="0033327F">
            <w:rPr>
              <w:rStyle w:val="PlaceholderText"/>
            </w:rPr>
            <w:t>[Status]</w:t>
          </w:r>
        </w:p>
      </w:docPartBody>
    </w:docPart>
    <w:docPart>
      <w:docPartPr>
        <w:name w:val="954041495DA644508C725EBE45A9A075"/>
        <w:category>
          <w:name w:val="General"/>
          <w:gallery w:val="placeholder"/>
        </w:category>
        <w:types>
          <w:type w:val="bbPlcHdr"/>
        </w:types>
        <w:behaviors>
          <w:behavior w:val="content"/>
        </w:behaviors>
        <w:guid w:val="{E0F9CD43-C7D6-4BD6-B31F-DEA4DFBB8C2B}"/>
      </w:docPartPr>
      <w:docPartBody>
        <w:p w:rsidR="005C5C4F" w:rsidRDefault="001F1348" w:rsidP="001F1348">
          <w:pPr>
            <w:pStyle w:val="954041495DA644508C725EBE45A9A075"/>
          </w:pPr>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348"/>
    <w:rsid w:val="00062309"/>
    <w:rsid w:val="000E697B"/>
    <w:rsid w:val="00102DA5"/>
    <w:rsid w:val="00166D59"/>
    <w:rsid w:val="00184C22"/>
    <w:rsid w:val="001F1348"/>
    <w:rsid w:val="00306DAD"/>
    <w:rsid w:val="00344BC0"/>
    <w:rsid w:val="0037586B"/>
    <w:rsid w:val="004071DC"/>
    <w:rsid w:val="00473346"/>
    <w:rsid w:val="005C5C4F"/>
    <w:rsid w:val="006E695C"/>
    <w:rsid w:val="00780E3A"/>
    <w:rsid w:val="007E2A46"/>
    <w:rsid w:val="0081757C"/>
    <w:rsid w:val="008262D6"/>
    <w:rsid w:val="008715A6"/>
    <w:rsid w:val="008E1A68"/>
    <w:rsid w:val="00A27CF8"/>
    <w:rsid w:val="00AC1BF4"/>
    <w:rsid w:val="00C17C9C"/>
    <w:rsid w:val="00C25CB0"/>
    <w:rsid w:val="00D044EC"/>
    <w:rsid w:val="00D92837"/>
    <w:rsid w:val="00E947C7"/>
    <w:rsid w:val="00ED1317"/>
    <w:rsid w:val="00EE60A5"/>
    <w:rsid w:val="00F814FC"/>
    <w:rsid w:val="00F901C1"/>
    <w:rsid w:val="00FD5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3346"/>
    <w:rPr>
      <w:color w:val="808080"/>
    </w:rPr>
  </w:style>
  <w:style w:type="paragraph" w:customStyle="1" w:styleId="2D1C3A54D61944DBB3D63B92C982C696">
    <w:name w:val="2D1C3A54D61944DBB3D63B92C982C696"/>
    <w:rsid w:val="001F1348"/>
  </w:style>
  <w:style w:type="paragraph" w:customStyle="1" w:styleId="5420FAF41CED451EAB8369D8BC2C0B60">
    <w:name w:val="5420FAF41CED451EAB8369D8BC2C0B60"/>
    <w:rsid w:val="001F1348"/>
  </w:style>
  <w:style w:type="paragraph" w:customStyle="1" w:styleId="954041495DA644508C725EBE45A9A075">
    <w:name w:val="954041495DA644508C725EBE45A9A075"/>
    <w:rsid w:val="001F1348"/>
  </w:style>
  <w:style w:type="paragraph" w:customStyle="1" w:styleId="8C46EF96C9FB444D8B5F08F2D49CB598">
    <w:name w:val="8C46EF96C9FB444D8B5F08F2D49CB598"/>
    <w:rsid w:val="00306DAD"/>
    <w:pPr>
      <w:spacing w:after="160" w:line="259" w:lineRule="auto"/>
    </w:pPr>
  </w:style>
  <w:style w:type="paragraph" w:customStyle="1" w:styleId="450E4005F0DD044EA9838BAF8414B1D2">
    <w:name w:val="450E4005F0DD044EA9838BAF8414B1D2"/>
    <w:rsid w:val="00ED1317"/>
    <w:pPr>
      <w:spacing w:after="0" w:line="240" w:lineRule="auto"/>
    </w:pPr>
    <w:rPr>
      <w:sz w:val="24"/>
      <w:szCs w:val="24"/>
    </w:rPr>
  </w:style>
  <w:style w:type="paragraph" w:customStyle="1" w:styleId="DB2F9277D14141DF810AFA550F69A327">
    <w:name w:val="DB2F9277D14141DF810AFA550F69A327"/>
    <w:rsid w:val="00473346"/>
    <w:pPr>
      <w:spacing w:after="160" w:line="259" w:lineRule="auto"/>
    </w:pPr>
  </w:style>
  <w:style w:type="paragraph" w:customStyle="1" w:styleId="11081E5A3A404A5CA4BDB78604B6FBEA">
    <w:name w:val="11081E5A3A404A5CA4BDB78604B6FBEA"/>
    <w:rsid w:val="00473346"/>
    <w:pPr>
      <w:spacing w:after="160" w:line="259" w:lineRule="auto"/>
    </w:pPr>
  </w:style>
  <w:style w:type="paragraph" w:customStyle="1" w:styleId="7008F58A503A4083A6A86C3A7135B89A">
    <w:name w:val="7008F58A503A4083A6A86C3A7135B89A"/>
    <w:rsid w:val="0047334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E79CA-471A-4C1C-ADCD-6FBDED056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1381</Words>
  <Characters>7875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WPSDGENRWH0015</vt:lpstr>
    </vt:vector>
  </TitlesOfParts>
  <Company>San Diego Gas &amp; Electric</Company>
  <LinksUpToDate>false</LinksUpToDate>
  <CharactersWithSpaces>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WPSDGENRWH0015</dc:title>
  <dc:creator>Mark 2009</dc:creator>
  <cp:lastModifiedBy>Reynoso, Ed</cp:lastModifiedBy>
  <cp:revision>6</cp:revision>
  <dcterms:created xsi:type="dcterms:W3CDTF">2017-11-16T03:23:00Z</dcterms:created>
  <dcterms:modified xsi:type="dcterms:W3CDTF">2018-01-03T04:10:00Z</dcterms:modified>
  <cp:contentStatus>Revision 0</cp:contentStatus>
</cp:coreProperties>
</file>